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F3" w:rsidRDefault="009743EC" w:rsidP="00540CD7">
      <w:pPr>
        <w:rPr>
          <w:rFonts w:ascii="Trebuchet MS" w:hAnsi="Trebuchet MS"/>
          <w:b/>
          <w:lang w:val="en-IE"/>
        </w:rPr>
      </w:pPr>
      <w:r>
        <w:rPr>
          <w:rFonts w:ascii="Trebuchet MS" w:hAnsi="Trebuchet MS"/>
          <w:b/>
          <w:noProof/>
          <w:lang w:val="en-IE" w:eastAsia="en-IE"/>
        </w:rPr>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1122045" cy="1266825"/>
            <wp:effectExtent l="19050" t="0" r="1905" b="0"/>
            <wp:wrapSquare wrapText="bothSides"/>
            <wp:docPr id="1" name="Picture 7" descr="F:\users\BLoughlin\LOGO\KC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rs\BLoughlin\LOGO\KCC Crest.JPG"/>
                    <pic:cNvPicPr>
                      <a:picLocks noChangeAspect="1" noChangeArrowheads="1"/>
                    </pic:cNvPicPr>
                  </pic:nvPicPr>
                  <pic:blipFill>
                    <a:blip r:embed="rId8" cstate="print"/>
                    <a:srcRect/>
                    <a:stretch>
                      <a:fillRect/>
                    </a:stretch>
                  </pic:blipFill>
                  <pic:spPr bwMode="auto">
                    <a:xfrm>
                      <a:off x="0" y="0"/>
                      <a:ext cx="1122045" cy="1266825"/>
                    </a:xfrm>
                    <a:prstGeom prst="rect">
                      <a:avLst/>
                    </a:prstGeom>
                    <a:noFill/>
                    <a:ln w="9525">
                      <a:noFill/>
                      <a:miter lim="800000"/>
                      <a:headEnd/>
                      <a:tailEnd/>
                    </a:ln>
                  </pic:spPr>
                </pic:pic>
              </a:graphicData>
            </a:graphic>
          </wp:anchor>
        </w:drawing>
      </w:r>
    </w:p>
    <w:p w:rsidR="00251AF3" w:rsidRPr="00DE40BF" w:rsidRDefault="009743EC" w:rsidP="00251AF3">
      <w:pPr>
        <w:rPr>
          <w:rFonts w:ascii="Arial" w:hAnsi="Arial" w:cs="Arial"/>
          <w:b/>
          <w:caps/>
          <w:sz w:val="20"/>
          <w:szCs w:val="20"/>
          <w:lang w:val="en-IE"/>
        </w:rPr>
      </w:pPr>
      <w:r>
        <w:rPr>
          <w:rFonts w:ascii="Arial" w:hAnsi="Arial" w:cs="Arial"/>
          <w:b/>
          <w:caps/>
          <w:noProof/>
          <w:sz w:val="20"/>
          <w:szCs w:val="20"/>
          <w:lang w:val="en-IE" w:eastAsia="en-IE"/>
        </w:rPr>
        <w:t xml:space="preserve">Kildare </w:t>
      </w:r>
      <w:r w:rsidR="00251AF3">
        <w:rPr>
          <w:rFonts w:ascii="Arial" w:hAnsi="Arial" w:cs="Arial"/>
          <w:b/>
          <w:caps/>
          <w:sz w:val="20"/>
          <w:szCs w:val="20"/>
          <w:lang w:val="en-IE"/>
        </w:rPr>
        <w:t xml:space="preserve">County </w:t>
      </w:r>
      <w:r w:rsidR="00251AF3" w:rsidRPr="00DE40BF">
        <w:rPr>
          <w:rFonts w:ascii="Arial" w:hAnsi="Arial" w:cs="Arial"/>
          <w:b/>
          <w:caps/>
          <w:sz w:val="20"/>
          <w:szCs w:val="20"/>
          <w:lang w:val="en-IE"/>
        </w:rPr>
        <w:t>Council</w:t>
      </w:r>
    </w:p>
    <w:p w:rsidR="00251AF3" w:rsidRDefault="00251AF3" w:rsidP="00251AF3">
      <w:pPr>
        <w:rPr>
          <w:rFonts w:ascii="Arial" w:hAnsi="Arial" w:cs="Arial"/>
          <w:b/>
          <w:caps/>
          <w:sz w:val="20"/>
          <w:szCs w:val="20"/>
          <w:lang w:val="en-IE"/>
        </w:rPr>
      </w:pPr>
    </w:p>
    <w:p w:rsidR="00251AF3" w:rsidRDefault="00251AF3" w:rsidP="00251AF3">
      <w:pPr>
        <w:rPr>
          <w:rFonts w:ascii="Arial" w:hAnsi="Arial" w:cs="Arial"/>
          <w:b/>
          <w:caps/>
          <w:sz w:val="20"/>
          <w:szCs w:val="20"/>
          <w:lang w:val="en-IE"/>
        </w:rPr>
      </w:pPr>
      <w:r w:rsidRPr="00DE40BF">
        <w:rPr>
          <w:rFonts w:ascii="Arial" w:hAnsi="Arial" w:cs="Arial"/>
          <w:b/>
          <w:caps/>
          <w:sz w:val="20"/>
          <w:szCs w:val="20"/>
          <w:lang w:val="en-IE"/>
        </w:rPr>
        <w:t xml:space="preserve">Appropriate Assessment - Stage 1 </w:t>
      </w:r>
      <w:r>
        <w:rPr>
          <w:rFonts w:ascii="Arial" w:hAnsi="Arial" w:cs="Arial"/>
          <w:b/>
          <w:caps/>
          <w:sz w:val="20"/>
          <w:szCs w:val="20"/>
          <w:lang w:val="en-IE"/>
        </w:rPr>
        <w:t xml:space="preserve">Screening </w:t>
      </w:r>
    </w:p>
    <w:p w:rsidR="00251AF3" w:rsidRDefault="00251AF3" w:rsidP="00251AF3">
      <w:pPr>
        <w:rPr>
          <w:rFonts w:ascii="Arial" w:hAnsi="Arial" w:cs="Arial"/>
          <w:b/>
          <w:caps/>
          <w:sz w:val="20"/>
          <w:szCs w:val="20"/>
          <w:lang w:val="en-IE"/>
        </w:rPr>
      </w:pPr>
    </w:p>
    <w:p w:rsidR="00251AF3" w:rsidRPr="00251AF3" w:rsidRDefault="00251AF3" w:rsidP="00251AF3">
      <w:pPr>
        <w:rPr>
          <w:rFonts w:ascii="Arial" w:hAnsi="Arial" w:cs="Arial"/>
          <w:b/>
          <w:caps/>
          <w:sz w:val="20"/>
          <w:szCs w:val="20"/>
          <w:lang w:val="en-IE"/>
        </w:rPr>
      </w:pPr>
      <w:r w:rsidRPr="00251AF3">
        <w:rPr>
          <w:rFonts w:ascii="Arial" w:hAnsi="Arial" w:cs="Arial"/>
          <w:b/>
          <w:caps/>
          <w:sz w:val="20"/>
          <w:szCs w:val="20"/>
          <w:lang w:val="en-IE"/>
        </w:rPr>
        <w:t>Finding of No Significant Effects Report Matrix</w:t>
      </w:r>
      <w:r>
        <w:rPr>
          <w:rFonts w:ascii="Arial" w:hAnsi="Arial" w:cs="Arial"/>
          <w:b/>
          <w:caps/>
          <w:sz w:val="20"/>
          <w:szCs w:val="20"/>
          <w:lang w:val="en-IE"/>
        </w:rPr>
        <w:t xml:space="preserve"> (FONSE)</w:t>
      </w:r>
      <w:r w:rsidRPr="00251AF3">
        <w:rPr>
          <w:rFonts w:ascii="Arial" w:hAnsi="Arial" w:cs="Arial"/>
          <w:b/>
          <w:caps/>
          <w:sz w:val="20"/>
          <w:szCs w:val="20"/>
          <w:lang w:val="en-IE"/>
        </w:rPr>
        <w:t xml:space="preserve"> </w:t>
      </w:r>
    </w:p>
    <w:p w:rsidR="00251AF3" w:rsidRPr="00DE40BF" w:rsidRDefault="00251AF3" w:rsidP="00251AF3">
      <w:pPr>
        <w:rPr>
          <w:rFonts w:ascii="Arial" w:hAnsi="Arial" w:cs="Arial"/>
          <w:b/>
          <w:caps/>
          <w:sz w:val="20"/>
          <w:szCs w:val="20"/>
          <w:lang w:val="en-IE"/>
        </w:rPr>
      </w:pPr>
    </w:p>
    <w:p w:rsidR="009743EC" w:rsidRDefault="009743EC" w:rsidP="00251AF3">
      <w:pPr>
        <w:ind w:left="720" w:firstLine="414"/>
        <w:rPr>
          <w:rFonts w:ascii="Arial" w:hAnsi="Arial" w:cs="Arial"/>
          <w:b/>
          <w:sz w:val="20"/>
          <w:szCs w:val="20"/>
          <w:lang w:val="en-IE"/>
        </w:rPr>
      </w:pPr>
    </w:p>
    <w:p w:rsidR="009743EC" w:rsidRDefault="009743EC" w:rsidP="00251AF3">
      <w:pPr>
        <w:ind w:left="720" w:firstLine="414"/>
        <w:rPr>
          <w:rFonts w:ascii="Arial" w:hAnsi="Arial" w:cs="Arial"/>
          <w:b/>
          <w:sz w:val="20"/>
          <w:szCs w:val="20"/>
          <w:lang w:val="en-IE"/>
        </w:rPr>
      </w:pPr>
    </w:p>
    <w:p w:rsidR="009743EC" w:rsidRDefault="009743EC" w:rsidP="00251AF3">
      <w:pPr>
        <w:ind w:left="720" w:firstLine="414"/>
        <w:rPr>
          <w:rFonts w:ascii="Arial" w:hAnsi="Arial" w:cs="Arial"/>
          <w:b/>
          <w:sz w:val="20"/>
          <w:szCs w:val="20"/>
          <w:lang w:val="en-IE"/>
        </w:rPr>
      </w:pPr>
    </w:p>
    <w:p w:rsidR="00251AF3" w:rsidRPr="00DE40BF" w:rsidRDefault="00251AF3" w:rsidP="009743EC">
      <w:pPr>
        <w:rPr>
          <w:rFonts w:ascii="Arial" w:hAnsi="Arial" w:cs="Arial"/>
          <w:b/>
          <w:sz w:val="20"/>
          <w:szCs w:val="20"/>
          <w:lang w:val="en-IE"/>
        </w:rPr>
      </w:pPr>
      <w:r w:rsidRPr="00DE40BF">
        <w:rPr>
          <w:rFonts w:ascii="Arial" w:hAnsi="Arial" w:cs="Arial"/>
          <w:b/>
          <w:sz w:val="20"/>
          <w:szCs w:val="20"/>
          <w:lang w:val="en-IE"/>
        </w:rPr>
        <w:t xml:space="preserve">In accordance with Article 6(3) and 6(4) of the Habitats Directive 92/43/EEC </w:t>
      </w:r>
    </w:p>
    <w:p w:rsidR="00251AF3" w:rsidRPr="00DE40BF" w:rsidRDefault="00251AF3" w:rsidP="00251AF3">
      <w:pPr>
        <w:rPr>
          <w:rFonts w:ascii="Arial" w:hAnsi="Arial" w:cs="Arial"/>
          <w:b/>
          <w:caps/>
          <w:sz w:val="20"/>
          <w:szCs w:val="20"/>
          <w:lang w:val="en-IE"/>
        </w:rPr>
      </w:pPr>
    </w:p>
    <w:p w:rsidR="00251AF3" w:rsidRDefault="00251AF3" w:rsidP="00251AF3">
      <w:pPr>
        <w:rPr>
          <w:rFonts w:ascii="Arial" w:hAnsi="Arial" w:cs="Arial"/>
          <w:b/>
          <w:sz w:val="20"/>
          <w:szCs w:val="20"/>
          <w:lang w:val="en-IE"/>
        </w:rPr>
      </w:pPr>
    </w:p>
    <w:tbl>
      <w:tblPr>
        <w:tblStyle w:val="TableGrid"/>
        <w:tblW w:w="0" w:type="auto"/>
        <w:tblLook w:val="04A0"/>
      </w:tblPr>
      <w:tblGrid>
        <w:gridCol w:w="4264"/>
        <w:gridCol w:w="4264"/>
      </w:tblGrid>
      <w:tr w:rsidR="00251AF3" w:rsidTr="00326D24">
        <w:tc>
          <w:tcPr>
            <w:tcW w:w="4264" w:type="dxa"/>
          </w:tcPr>
          <w:p w:rsidR="00251AF3" w:rsidRDefault="00251AF3" w:rsidP="00326D24">
            <w:pPr>
              <w:rPr>
                <w:rFonts w:ascii="Arial" w:hAnsi="Arial" w:cs="Arial"/>
                <w:b/>
                <w:sz w:val="20"/>
                <w:szCs w:val="20"/>
                <w:lang w:val="en-IE"/>
              </w:rPr>
            </w:pPr>
          </w:p>
          <w:p w:rsidR="00251AF3" w:rsidRDefault="00251AF3" w:rsidP="00326D24">
            <w:pPr>
              <w:rPr>
                <w:rFonts w:ascii="Arial" w:hAnsi="Arial" w:cs="Arial"/>
                <w:b/>
                <w:sz w:val="20"/>
                <w:szCs w:val="20"/>
                <w:lang w:val="en-IE"/>
              </w:rPr>
            </w:pPr>
            <w:r>
              <w:rPr>
                <w:rFonts w:ascii="Arial" w:hAnsi="Arial" w:cs="Arial"/>
                <w:b/>
                <w:sz w:val="20"/>
                <w:szCs w:val="20"/>
                <w:lang w:val="en-IE"/>
              </w:rPr>
              <w:t xml:space="preserve">Planning Application Number </w:t>
            </w:r>
          </w:p>
          <w:p w:rsidR="00251AF3" w:rsidRDefault="00251AF3" w:rsidP="00326D24">
            <w:pPr>
              <w:rPr>
                <w:rFonts w:ascii="Arial" w:hAnsi="Arial" w:cs="Arial"/>
                <w:b/>
                <w:sz w:val="20"/>
                <w:szCs w:val="20"/>
                <w:lang w:val="en-IE"/>
              </w:rPr>
            </w:pPr>
          </w:p>
        </w:tc>
        <w:tc>
          <w:tcPr>
            <w:tcW w:w="4264" w:type="dxa"/>
          </w:tcPr>
          <w:p w:rsidR="00251AF3" w:rsidRDefault="00251AF3" w:rsidP="00326D24">
            <w:pPr>
              <w:rPr>
                <w:rFonts w:ascii="Arial" w:hAnsi="Arial" w:cs="Arial"/>
                <w:b/>
                <w:sz w:val="20"/>
                <w:szCs w:val="20"/>
                <w:lang w:val="en-IE"/>
              </w:rPr>
            </w:pPr>
          </w:p>
          <w:p w:rsidR="00943CB0" w:rsidRDefault="00943CB0" w:rsidP="00481A8B">
            <w:pPr>
              <w:rPr>
                <w:rFonts w:ascii="Arial" w:hAnsi="Arial" w:cs="Arial"/>
                <w:b/>
                <w:sz w:val="20"/>
                <w:szCs w:val="20"/>
                <w:lang w:val="en-IE"/>
              </w:rPr>
            </w:pPr>
            <w:r>
              <w:rPr>
                <w:rFonts w:ascii="Arial" w:hAnsi="Arial" w:cs="Arial"/>
                <w:b/>
                <w:sz w:val="20"/>
                <w:szCs w:val="20"/>
                <w:lang w:val="en-IE"/>
              </w:rPr>
              <w:t>P82017</w:t>
            </w:r>
            <w:r w:rsidR="00481A8B">
              <w:rPr>
                <w:rFonts w:ascii="Arial" w:hAnsi="Arial" w:cs="Arial"/>
                <w:b/>
                <w:sz w:val="20"/>
                <w:szCs w:val="20"/>
                <w:lang w:val="en-IE"/>
              </w:rPr>
              <w:t>.</w:t>
            </w:r>
            <w:r>
              <w:rPr>
                <w:rFonts w:ascii="Arial" w:hAnsi="Arial" w:cs="Arial"/>
                <w:b/>
                <w:sz w:val="20"/>
                <w:szCs w:val="20"/>
                <w:lang w:val="en-IE"/>
              </w:rPr>
              <w:t xml:space="preserve"> 011</w:t>
            </w:r>
          </w:p>
        </w:tc>
      </w:tr>
      <w:tr w:rsidR="00251AF3" w:rsidTr="00326D24">
        <w:tc>
          <w:tcPr>
            <w:tcW w:w="4264" w:type="dxa"/>
          </w:tcPr>
          <w:p w:rsidR="00251AF3" w:rsidRDefault="00251AF3" w:rsidP="00326D24">
            <w:pPr>
              <w:rPr>
                <w:rFonts w:ascii="Arial" w:hAnsi="Arial" w:cs="Arial"/>
                <w:b/>
                <w:sz w:val="20"/>
                <w:szCs w:val="20"/>
                <w:lang w:val="en-IE"/>
              </w:rPr>
            </w:pPr>
          </w:p>
          <w:p w:rsidR="00251AF3" w:rsidRDefault="00251AF3" w:rsidP="00326D24">
            <w:pPr>
              <w:rPr>
                <w:rFonts w:ascii="Arial" w:hAnsi="Arial" w:cs="Arial"/>
                <w:b/>
                <w:sz w:val="20"/>
                <w:szCs w:val="20"/>
                <w:lang w:val="en-IE"/>
              </w:rPr>
            </w:pPr>
            <w:r>
              <w:rPr>
                <w:rFonts w:ascii="Arial" w:hAnsi="Arial" w:cs="Arial"/>
                <w:b/>
                <w:sz w:val="20"/>
                <w:szCs w:val="20"/>
                <w:lang w:val="en-IE"/>
              </w:rPr>
              <w:t>Development Type</w:t>
            </w:r>
          </w:p>
          <w:p w:rsidR="00251AF3" w:rsidRDefault="00251AF3" w:rsidP="00326D24">
            <w:pPr>
              <w:rPr>
                <w:rFonts w:ascii="Arial" w:hAnsi="Arial" w:cs="Arial"/>
                <w:b/>
                <w:sz w:val="20"/>
                <w:szCs w:val="20"/>
                <w:lang w:val="en-IE"/>
              </w:rPr>
            </w:pPr>
          </w:p>
        </w:tc>
        <w:tc>
          <w:tcPr>
            <w:tcW w:w="4264" w:type="dxa"/>
          </w:tcPr>
          <w:p w:rsidR="00251AF3" w:rsidRDefault="00251AF3" w:rsidP="00326D24">
            <w:pPr>
              <w:rPr>
                <w:rFonts w:ascii="Arial" w:hAnsi="Arial" w:cs="Arial"/>
                <w:b/>
                <w:sz w:val="20"/>
                <w:szCs w:val="20"/>
                <w:lang w:val="en-IE"/>
              </w:rPr>
            </w:pPr>
          </w:p>
          <w:p w:rsidR="00A00CAB" w:rsidRPr="000157CF" w:rsidRDefault="00A00CAB" w:rsidP="00A00CAB">
            <w:pPr>
              <w:rPr>
                <w:rFonts w:ascii="Arial" w:hAnsi="Arial" w:cs="Arial"/>
                <w:sz w:val="20"/>
                <w:szCs w:val="20"/>
                <w:lang w:val="en-IE"/>
              </w:rPr>
            </w:pPr>
            <w:r w:rsidRPr="000157CF">
              <w:rPr>
                <w:rFonts w:ascii="Arial" w:hAnsi="Arial" w:cs="Arial"/>
                <w:sz w:val="20"/>
                <w:szCs w:val="20"/>
                <w:lang w:val="en-IE"/>
              </w:rPr>
              <w:t xml:space="preserve">Installation of a footpath </w:t>
            </w:r>
            <w:r w:rsidR="00481A8B" w:rsidRPr="000157CF">
              <w:rPr>
                <w:rFonts w:ascii="Arial" w:hAnsi="Arial" w:cs="Arial"/>
                <w:sz w:val="20"/>
                <w:szCs w:val="20"/>
                <w:lang w:val="en-IE"/>
              </w:rPr>
              <w:t xml:space="preserve">and public lighting across an existing railway bridge </w:t>
            </w:r>
            <w:r w:rsidRPr="000157CF">
              <w:rPr>
                <w:rFonts w:ascii="Arial" w:hAnsi="Arial" w:cs="Arial"/>
                <w:sz w:val="20"/>
                <w:szCs w:val="20"/>
                <w:lang w:val="en-IE"/>
              </w:rPr>
              <w:t>and associated works.</w:t>
            </w:r>
          </w:p>
          <w:p w:rsidR="00A00CAB" w:rsidRDefault="00A00CAB" w:rsidP="00326D24">
            <w:pPr>
              <w:rPr>
                <w:rFonts w:ascii="Arial" w:hAnsi="Arial" w:cs="Arial"/>
                <w:b/>
                <w:sz w:val="20"/>
                <w:szCs w:val="20"/>
                <w:lang w:val="en-IE"/>
              </w:rPr>
            </w:pPr>
          </w:p>
        </w:tc>
      </w:tr>
      <w:tr w:rsidR="00A00CAB" w:rsidTr="00326D24">
        <w:tc>
          <w:tcPr>
            <w:tcW w:w="4264" w:type="dxa"/>
          </w:tcPr>
          <w:p w:rsidR="00A00CAB" w:rsidRDefault="00A00CAB" w:rsidP="00326D24">
            <w:pPr>
              <w:rPr>
                <w:rFonts w:ascii="Arial" w:hAnsi="Arial" w:cs="Arial"/>
                <w:b/>
                <w:sz w:val="20"/>
                <w:szCs w:val="20"/>
                <w:lang w:val="en-IE"/>
              </w:rPr>
            </w:pPr>
          </w:p>
          <w:p w:rsidR="00A00CAB" w:rsidRDefault="00A00CAB" w:rsidP="00326D24">
            <w:pPr>
              <w:rPr>
                <w:rFonts w:ascii="Arial" w:hAnsi="Arial" w:cs="Arial"/>
                <w:b/>
                <w:sz w:val="20"/>
                <w:szCs w:val="20"/>
                <w:lang w:val="en-IE"/>
              </w:rPr>
            </w:pPr>
            <w:r>
              <w:rPr>
                <w:rFonts w:ascii="Arial" w:hAnsi="Arial" w:cs="Arial"/>
                <w:b/>
                <w:sz w:val="20"/>
                <w:szCs w:val="20"/>
                <w:lang w:val="en-IE"/>
              </w:rPr>
              <w:t>Development Location</w:t>
            </w:r>
          </w:p>
          <w:p w:rsidR="00A00CAB" w:rsidRDefault="00A00CAB" w:rsidP="00326D24">
            <w:pPr>
              <w:rPr>
                <w:rFonts w:ascii="Arial" w:hAnsi="Arial" w:cs="Arial"/>
                <w:b/>
                <w:sz w:val="20"/>
                <w:szCs w:val="20"/>
                <w:lang w:val="en-IE"/>
              </w:rPr>
            </w:pPr>
          </w:p>
        </w:tc>
        <w:tc>
          <w:tcPr>
            <w:tcW w:w="4264" w:type="dxa"/>
          </w:tcPr>
          <w:p w:rsidR="00A00CAB" w:rsidRDefault="00A00CAB" w:rsidP="00943CB0">
            <w:pPr>
              <w:rPr>
                <w:rFonts w:ascii="Arial" w:hAnsi="Arial" w:cs="Arial"/>
                <w:b/>
                <w:sz w:val="20"/>
                <w:szCs w:val="20"/>
                <w:lang w:val="en-IE"/>
              </w:rPr>
            </w:pPr>
          </w:p>
          <w:p w:rsidR="00A00CAB" w:rsidRPr="000157CF" w:rsidRDefault="00A00CAB" w:rsidP="00943CB0">
            <w:pPr>
              <w:rPr>
                <w:rFonts w:ascii="Arial" w:hAnsi="Arial" w:cs="Arial"/>
                <w:sz w:val="20"/>
                <w:szCs w:val="20"/>
                <w:lang w:val="en-IE"/>
              </w:rPr>
            </w:pPr>
            <w:r w:rsidRPr="000157CF">
              <w:rPr>
                <w:rFonts w:ascii="Arial" w:hAnsi="Arial" w:cs="Arial"/>
                <w:sz w:val="20"/>
                <w:szCs w:val="20"/>
                <w:lang w:val="en-IE"/>
              </w:rPr>
              <w:t>Kildangan Village, County Kildare</w:t>
            </w:r>
          </w:p>
        </w:tc>
      </w:tr>
      <w:tr w:rsidR="00A00CAB" w:rsidTr="00326D24">
        <w:tc>
          <w:tcPr>
            <w:tcW w:w="4264" w:type="dxa"/>
          </w:tcPr>
          <w:p w:rsidR="00A00CAB" w:rsidRDefault="00A00CAB" w:rsidP="00326D24">
            <w:pPr>
              <w:rPr>
                <w:rFonts w:ascii="Arial" w:hAnsi="Arial" w:cs="Arial"/>
                <w:b/>
                <w:sz w:val="20"/>
                <w:szCs w:val="20"/>
                <w:lang w:val="en-IE"/>
              </w:rPr>
            </w:pPr>
          </w:p>
          <w:p w:rsidR="00A00CAB" w:rsidRDefault="00A00CAB" w:rsidP="00326D24">
            <w:pPr>
              <w:rPr>
                <w:rFonts w:ascii="Arial" w:hAnsi="Arial" w:cs="Arial"/>
                <w:b/>
                <w:sz w:val="20"/>
                <w:szCs w:val="20"/>
                <w:lang w:val="en-IE"/>
              </w:rPr>
            </w:pPr>
            <w:r>
              <w:rPr>
                <w:rFonts w:ascii="Arial" w:hAnsi="Arial" w:cs="Arial"/>
                <w:b/>
                <w:sz w:val="20"/>
                <w:szCs w:val="20"/>
                <w:lang w:val="en-IE"/>
              </w:rPr>
              <w:t>Natura 2000 site(s) within impact zone</w:t>
            </w:r>
          </w:p>
          <w:p w:rsidR="00A00CAB" w:rsidRDefault="00A00CAB" w:rsidP="00326D24">
            <w:pPr>
              <w:rPr>
                <w:rFonts w:ascii="Arial" w:hAnsi="Arial" w:cs="Arial"/>
                <w:b/>
                <w:sz w:val="20"/>
                <w:szCs w:val="20"/>
                <w:lang w:val="en-IE"/>
              </w:rPr>
            </w:pPr>
          </w:p>
        </w:tc>
        <w:tc>
          <w:tcPr>
            <w:tcW w:w="4264" w:type="dxa"/>
          </w:tcPr>
          <w:p w:rsidR="00A00CAB" w:rsidRDefault="00A00CAB" w:rsidP="00326D24">
            <w:pPr>
              <w:rPr>
                <w:rFonts w:ascii="Arial" w:hAnsi="Arial" w:cs="Arial"/>
                <w:b/>
                <w:sz w:val="20"/>
                <w:szCs w:val="20"/>
                <w:lang w:val="en-IE"/>
              </w:rPr>
            </w:pPr>
          </w:p>
          <w:p w:rsidR="00A00CAB" w:rsidRPr="000157CF" w:rsidRDefault="00A00CAB" w:rsidP="00326D24">
            <w:pPr>
              <w:rPr>
                <w:rFonts w:ascii="Arial" w:hAnsi="Arial" w:cs="Arial"/>
                <w:sz w:val="20"/>
                <w:szCs w:val="20"/>
                <w:lang w:val="en-IE"/>
              </w:rPr>
            </w:pPr>
            <w:r w:rsidRPr="000157CF">
              <w:rPr>
                <w:rFonts w:ascii="Arial" w:hAnsi="Arial" w:cs="Arial"/>
                <w:sz w:val="20"/>
                <w:szCs w:val="20"/>
                <w:lang w:val="en-IE"/>
              </w:rPr>
              <w:t>Yes</w:t>
            </w:r>
          </w:p>
        </w:tc>
      </w:tr>
      <w:tr w:rsidR="00A00CAB" w:rsidTr="00326D24">
        <w:tc>
          <w:tcPr>
            <w:tcW w:w="4264" w:type="dxa"/>
          </w:tcPr>
          <w:p w:rsidR="00A00CAB" w:rsidRDefault="00A00CAB" w:rsidP="00326D24">
            <w:pPr>
              <w:rPr>
                <w:rFonts w:ascii="Arial" w:hAnsi="Arial" w:cs="Arial"/>
                <w:b/>
                <w:sz w:val="20"/>
                <w:szCs w:val="20"/>
                <w:lang w:val="en-IE"/>
              </w:rPr>
            </w:pPr>
          </w:p>
          <w:p w:rsidR="00A00CAB" w:rsidRDefault="00A00CAB" w:rsidP="00326D24">
            <w:pPr>
              <w:rPr>
                <w:rFonts w:ascii="Arial" w:hAnsi="Arial" w:cs="Arial"/>
                <w:b/>
                <w:sz w:val="20"/>
                <w:szCs w:val="20"/>
                <w:lang w:val="en-IE"/>
              </w:rPr>
            </w:pPr>
            <w:r>
              <w:rPr>
                <w:rFonts w:ascii="Arial" w:hAnsi="Arial" w:cs="Arial"/>
                <w:b/>
                <w:sz w:val="20"/>
                <w:szCs w:val="20"/>
                <w:lang w:val="en-IE"/>
              </w:rPr>
              <w:t>Qualifying interests of Natura 2000 site(s)</w:t>
            </w:r>
          </w:p>
          <w:p w:rsidR="00A00CAB" w:rsidRDefault="00A00CAB" w:rsidP="00326D24">
            <w:pPr>
              <w:rPr>
                <w:rFonts w:ascii="Arial" w:hAnsi="Arial" w:cs="Arial"/>
                <w:b/>
                <w:sz w:val="20"/>
                <w:szCs w:val="20"/>
                <w:lang w:val="en-IE"/>
              </w:rPr>
            </w:pPr>
          </w:p>
        </w:tc>
        <w:tc>
          <w:tcPr>
            <w:tcW w:w="4264" w:type="dxa"/>
          </w:tcPr>
          <w:p w:rsidR="00A00CAB" w:rsidRDefault="00A00CAB" w:rsidP="00943CB0">
            <w:pPr>
              <w:rPr>
                <w:rFonts w:ascii="Arial" w:hAnsi="Arial" w:cs="Arial"/>
                <w:b/>
                <w:sz w:val="20"/>
                <w:szCs w:val="20"/>
                <w:lang w:val="en-IE"/>
              </w:rPr>
            </w:pPr>
          </w:p>
          <w:p w:rsidR="00953386" w:rsidRDefault="00953386" w:rsidP="00953386">
            <w:pPr>
              <w:rPr>
                <w:rStyle w:val="fontstyle11"/>
                <w:sz w:val="20"/>
                <w:szCs w:val="20"/>
              </w:rPr>
            </w:pPr>
            <w:r>
              <w:rPr>
                <w:rStyle w:val="fontstyle11"/>
                <w:sz w:val="20"/>
                <w:szCs w:val="20"/>
              </w:rPr>
              <w:t xml:space="preserve">Qualify Interests of Barrow SAC </w:t>
            </w:r>
            <w:r w:rsidRPr="00250086">
              <w:rPr>
                <w:rFonts w:ascii="Calibri" w:hAnsi="Calibri" w:cs="Calibri"/>
                <w:color w:val="000000"/>
              </w:rPr>
              <w:t>002162</w:t>
            </w:r>
          </w:p>
          <w:p w:rsidR="00953386" w:rsidRDefault="00953386" w:rsidP="00953386">
            <w:r>
              <w:rPr>
                <w:rStyle w:val="fontstyle11"/>
                <w:sz w:val="20"/>
                <w:szCs w:val="20"/>
              </w:rPr>
              <w:t xml:space="preserve">1016 Desmoulin's whorl snail </w:t>
            </w:r>
            <w:r>
              <w:rPr>
                <w:rStyle w:val="fontstyle31"/>
              </w:rPr>
              <w:t>Vertigo moulinsiana</w:t>
            </w:r>
            <w:r>
              <w:rPr>
                <w:rFonts w:ascii="Calibri-Italic" w:hAnsi="Calibri-Italic"/>
                <w:i/>
                <w:iCs/>
                <w:color w:val="000000"/>
                <w:sz w:val="20"/>
                <w:szCs w:val="20"/>
              </w:rPr>
              <w:br/>
            </w:r>
            <w:r>
              <w:rPr>
                <w:rStyle w:val="fontstyle11"/>
                <w:sz w:val="20"/>
                <w:szCs w:val="20"/>
              </w:rPr>
              <w:t xml:space="preserve">1029 Freshwater pearl mussel </w:t>
            </w:r>
            <w:r>
              <w:rPr>
                <w:rStyle w:val="fontstyle31"/>
              </w:rPr>
              <w:t>Margaritifera margaritifera</w:t>
            </w:r>
            <w:r>
              <w:rPr>
                <w:rFonts w:ascii="Calibri-Italic" w:hAnsi="Calibri-Italic"/>
                <w:i/>
                <w:iCs/>
                <w:color w:val="000000"/>
                <w:sz w:val="20"/>
                <w:szCs w:val="20"/>
              </w:rPr>
              <w:br/>
            </w:r>
            <w:r>
              <w:rPr>
                <w:rStyle w:val="fontstyle11"/>
                <w:sz w:val="20"/>
                <w:szCs w:val="20"/>
              </w:rPr>
              <w:t xml:space="preserve">1092 White‐clawed crayfish </w:t>
            </w:r>
            <w:r>
              <w:rPr>
                <w:rStyle w:val="fontstyle31"/>
              </w:rPr>
              <w:t>Austropotamobius pallipes</w:t>
            </w:r>
            <w:r>
              <w:rPr>
                <w:rFonts w:ascii="Calibri-Italic" w:hAnsi="Calibri-Italic"/>
                <w:i/>
                <w:iCs/>
                <w:color w:val="000000"/>
                <w:sz w:val="20"/>
                <w:szCs w:val="20"/>
              </w:rPr>
              <w:br/>
            </w:r>
            <w:r>
              <w:rPr>
                <w:rStyle w:val="fontstyle11"/>
                <w:sz w:val="20"/>
                <w:szCs w:val="20"/>
              </w:rPr>
              <w:t xml:space="preserve">1095 Sea lamprey </w:t>
            </w:r>
            <w:r>
              <w:rPr>
                <w:rStyle w:val="fontstyle31"/>
              </w:rPr>
              <w:t>Petromyzon marinus</w:t>
            </w:r>
            <w:r>
              <w:rPr>
                <w:rFonts w:ascii="Calibri-Italic" w:hAnsi="Calibri-Italic"/>
                <w:i/>
                <w:iCs/>
                <w:color w:val="000000"/>
                <w:sz w:val="20"/>
                <w:szCs w:val="20"/>
              </w:rPr>
              <w:br/>
            </w:r>
            <w:r>
              <w:rPr>
                <w:rStyle w:val="fontstyle11"/>
                <w:sz w:val="20"/>
                <w:szCs w:val="20"/>
              </w:rPr>
              <w:t xml:space="preserve">1096 Brook lamprey </w:t>
            </w:r>
            <w:r>
              <w:rPr>
                <w:rStyle w:val="fontstyle31"/>
              </w:rPr>
              <w:t>Lampetra planeri</w:t>
            </w:r>
            <w:r>
              <w:rPr>
                <w:rFonts w:ascii="Calibri-Italic" w:hAnsi="Calibri-Italic"/>
                <w:i/>
                <w:iCs/>
                <w:color w:val="000000"/>
                <w:sz w:val="20"/>
                <w:szCs w:val="20"/>
              </w:rPr>
              <w:br/>
            </w:r>
            <w:r>
              <w:rPr>
                <w:rStyle w:val="fontstyle11"/>
                <w:sz w:val="20"/>
                <w:szCs w:val="20"/>
              </w:rPr>
              <w:t xml:space="preserve">1099 River lamprey </w:t>
            </w:r>
            <w:r>
              <w:rPr>
                <w:rStyle w:val="fontstyle31"/>
              </w:rPr>
              <w:t>Lampetra fluviatilis</w:t>
            </w:r>
            <w:r>
              <w:rPr>
                <w:rFonts w:ascii="Calibri-Italic" w:hAnsi="Calibri-Italic"/>
                <w:i/>
                <w:iCs/>
                <w:color w:val="000000"/>
                <w:sz w:val="20"/>
                <w:szCs w:val="20"/>
              </w:rPr>
              <w:br/>
            </w:r>
            <w:r>
              <w:rPr>
                <w:rStyle w:val="fontstyle11"/>
                <w:sz w:val="20"/>
                <w:szCs w:val="20"/>
              </w:rPr>
              <w:t xml:space="preserve">1103 Twaite shad </w:t>
            </w:r>
            <w:r>
              <w:rPr>
                <w:rStyle w:val="fontstyle31"/>
              </w:rPr>
              <w:t>Alosa fallax</w:t>
            </w:r>
            <w:r>
              <w:rPr>
                <w:rFonts w:ascii="Calibri-Italic" w:hAnsi="Calibri-Italic"/>
                <w:i/>
                <w:iCs/>
                <w:color w:val="000000"/>
                <w:sz w:val="20"/>
                <w:szCs w:val="20"/>
              </w:rPr>
              <w:br/>
            </w:r>
            <w:r>
              <w:rPr>
                <w:rStyle w:val="fontstyle11"/>
                <w:sz w:val="20"/>
                <w:szCs w:val="20"/>
              </w:rPr>
              <w:t>1106 Atlantic salmon (</w:t>
            </w:r>
            <w:r>
              <w:rPr>
                <w:rStyle w:val="fontstyle31"/>
              </w:rPr>
              <w:t>Salmo salar</w:t>
            </w:r>
            <w:r>
              <w:rPr>
                <w:rStyle w:val="fontstyle11"/>
                <w:sz w:val="20"/>
                <w:szCs w:val="20"/>
              </w:rPr>
              <w:t>) (only in fresh water)</w:t>
            </w:r>
            <w:r>
              <w:rPr>
                <w:rFonts w:ascii="Calibri" w:hAnsi="Calibri" w:cs="Calibri"/>
                <w:color w:val="000000"/>
                <w:sz w:val="20"/>
                <w:szCs w:val="20"/>
              </w:rPr>
              <w:br/>
            </w:r>
            <w:r>
              <w:rPr>
                <w:rStyle w:val="fontstyle11"/>
                <w:sz w:val="20"/>
                <w:szCs w:val="20"/>
              </w:rPr>
              <w:t>1130 Estuaries</w:t>
            </w:r>
            <w:r>
              <w:rPr>
                <w:rFonts w:ascii="Calibri" w:hAnsi="Calibri" w:cs="Calibri"/>
                <w:color w:val="000000"/>
                <w:sz w:val="20"/>
                <w:szCs w:val="20"/>
              </w:rPr>
              <w:br/>
            </w:r>
            <w:r>
              <w:rPr>
                <w:rStyle w:val="fontstyle11"/>
                <w:sz w:val="20"/>
                <w:szCs w:val="20"/>
              </w:rPr>
              <w:t>1140 Mudflats and sandflats not covered by seawater at low tide</w:t>
            </w:r>
            <w:r>
              <w:rPr>
                <w:rFonts w:ascii="Calibri" w:hAnsi="Calibri" w:cs="Calibri"/>
                <w:color w:val="000000"/>
                <w:sz w:val="20"/>
                <w:szCs w:val="20"/>
              </w:rPr>
              <w:br/>
            </w:r>
            <w:r>
              <w:rPr>
                <w:rStyle w:val="fontstyle11"/>
                <w:sz w:val="20"/>
                <w:szCs w:val="20"/>
              </w:rPr>
              <w:t xml:space="preserve">1310 </w:t>
            </w:r>
            <w:r>
              <w:rPr>
                <w:rStyle w:val="fontstyle31"/>
              </w:rPr>
              <w:t xml:space="preserve">Salicornia </w:t>
            </w:r>
            <w:r>
              <w:rPr>
                <w:rStyle w:val="fontstyle11"/>
                <w:sz w:val="20"/>
                <w:szCs w:val="20"/>
              </w:rPr>
              <w:t>and other annuals colonizing mud and sand</w:t>
            </w:r>
            <w:r>
              <w:rPr>
                <w:rFonts w:ascii="Calibri" w:hAnsi="Calibri" w:cs="Calibri"/>
                <w:color w:val="000000"/>
                <w:sz w:val="20"/>
                <w:szCs w:val="20"/>
              </w:rPr>
              <w:br/>
            </w:r>
            <w:r>
              <w:rPr>
                <w:rStyle w:val="fontstyle11"/>
                <w:sz w:val="20"/>
                <w:szCs w:val="20"/>
              </w:rPr>
              <w:t>1330 Atlantic salt meadows (</w:t>
            </w:r>
            <w:r>
              <w:rPr>
                <w:rStyle w:val="fontstyle31"/>
              </w:rPr>
              <w:t>Glauco</w:t>
            </w:r>
            <w:r>
              <w:rPr>
                <w:rStyle w:val="fontstyle31"/>
                <w:rFonts w:ascii="Cambria Math" w:hAnsi="Cambria Math" w:cs="Cambria Math"/>
              </w:rPr>
              <w:t>‐</w:t>
            </w:r>
            <w:r>
              <w:rPr>
                <w:rStyle w:val="fontstyle31"/>
              </w:rPr>
              <w:t>Puccinellietalia maritimae</w:t>
            </w:r>
            <w:r>
              <w:rPr>
                <w:rStyle w:val="fontstyle11"/>
                <w:sz w:val="20"/>
                <w:szCs w:val="20"/>
              </w:rPr>
              <w:t>)</w:t>
            </w:r>
            <w:r>
              <w:rPr>
                <w:rFonts w:ascii="Calibri" w:hAnsi="Calibri" w:cs="Calibri"/>
                <w:color w:val="000000"/>
                <w:sz w:val="20"/>
                <w:szCs w:val="20"/>
              </w:rPr>
              <w:br/>
            </w:r>
            <w:r>
              <w:rPr>
                <w:rStyle w:val="fontstyle11"/>
                <w:sz w:val="20"/>
                <w:szCs w:val="20"/>
              </w:rPr>
              <w:t xml:space="preserve">1355 Otter </w:t>
            </w:r>
            <w:r>
              <w:rPr>
                <w:rStyle w:val="fontstyle31"/>
              </w:rPr>
              <w:t>Lutra lutra</w:t>
            </w:r>
            <w:r>
              <w:rPr>
                <w:rFonts w:ascii="Calibri-Italic" w:hAnsi="Calibri-Italic"/>
                <w:i/>
                <w:iCs/>
                <w:color w:val="000000"/>
                <w:sz w:val="20"/>
                <w:szCs w:val="20"/>
              </w:rPr>
              <w:br/>
            </w:r>
            <w:r>
              <w:rPr>
                <w:rStyle w:val="fontstyle11"/>
                <w:sz w:val="20"/>
                <w:szCs w:val="20"/>
              </w:rPr>
              <w:t>1410 Mediterranean salt meadows (</w:t>
            </w:r>
            <w:r>
              <w:rPr>
                <w:rStyle w:val="fontstyle31"/>
              </w:rPr>
              <w:t>Juncetalia maritimi</w:t>
            </w:r>
            <w:r>
              <w:rPr>
                <w:rStyle w:val="fontstyle11"/>
                <w:sz w:val="20"/>
                <w:szCs w:val="20"/>
              </w:rPr>
              <w:t>)</w:t>
            </w:r>
            <w:r>
              <w:rPr>
                <w:rFonts w:ascii="Calibri" w:hAnsi="Calibri" w:cs="Calibri"/>
                <w:color w:val="000000"/>
                <w:sz w:val="20"/>
                <w:szCs w:val="20"/>
              </w:rPr>
              <w:br/>
            </w:r>
            <w:r>
              <w:rPr>
                <w:rStyle w:val="fontstyle11"/>
                <w:sz w:val="20"/>
                <w:szCs w:val="20"/>
              </w:rPr>
              <w:t xml:space="preserve">1421 Killarney fern </w:t>
            </w:r>
            <w:r>
              <w:rPr>
                <w:rStyle w:val="fontstyle31"/>
              </w:rPr>
              <w:t>Trichomanes speciosum</w:t>
            </w:r>
            <w:r>
              <w:rPr>
                <w:rFonts w:ascii="Calibri-Italic" w:hAnsi="Calibri-Italic"/>
                <w:i/>
                <w:iCs/>
                <w:color w:val="000000"/>
                <w:sz w:val="20"/>
                <w:szCs w:val="20"/>
              </w:rPr>
              <w:br/>
            </w:r>
            <w:r>
              <w:rPr>
                <w:rStyle w:val="fontstyle11"/>
                <w:sz w:val="20"/>
                <w:szCs w:val="20"/>
              </w:rPr>
              <w:t xml:space="preserve">1990 Nore freshwater pearl mussel </w:t>
            </w:r>
            <w:r>
              <w:rPr>
                <w:rStyle w:val="fontstyle31"/>
              </w:rPr>
              <w:t>Margaritifera durrovensis</w:t>
            </w:r>
            <w:r>
              <w:rPr>
                <w:rFonts w:ascii="Calibri-Italic" w:hAnsi="Calibri-Italic"/>
                <w:i/>
                <w:iCs/>
                <w:color w:val="000000"/>
                <w:sz w:val="20"/>
                <w:szCs w:val="20"/>
              </w:rPr>
              <w:br/>
            </w:r>
            <w:r>
              <w:rPr>
                <w:rStyle w:val="fontstyle11"/>
                <w:sz w:val="20"/>
                <w:szCs w:val="20"/>
              </w:rPr>
              <w:t xml:space="preserve">3260 Water courses of plain to montane levels with the </w:t>
            </w:r>
            <w:r>
              <w:rPr>
                <w:rStyle w:val="fontstyle31"/>
              </w:rPr>
              <w:t xml:space="preserve">Ranunculion fluitantis </w:t>
            </w:r>
            <w:r>
              <w:rPr>
                <w:rStyle w:val="fontstyle11"/>
                <w:sz w:val="20"/>
                <w:szCs w:val="20"/>
              </w:rPr>
              <w:t>and</w:t>
            </w:r>
            <w:r>
              <w:rPr>
                <w:rFonts w:ascii="Calibri" w:hAnsi="Calibri" w:cs="Calibri"/>
                <w:color w:val="000000"/>
                <w:sz w:val="20"/>
                <w:szCs w:val="20"/>
              </w:rPr>
              <w:br/>
            </w:r>
            <w:r>
              <w:rPr>
                <w:rStyle w:val="fontstyle31"/>
              </w:rPr>
              <w:t>Callitricho</w:t>
            </w:r>
            <w:r>
              <w:rPr>
                <w:rStyle w:val="fontstyle31"/>
                <w:rFonts w:ascii="Cambria Math" w:hAnsi="Cambria Math" w:cs="Cambria Math"/>
              </w:rPr>
              <w:t>‐</w:t>
            </w:r>
            <w:r>
              <w:rPr>
                <w:rStyle w:val="fontstyle31"/>
              </w:rPr>
              <w:t xml:space="preserve">Batrachion </w:t>
            </w:r>
            <w:r>
              <w:rPr>
                <w:rStyle w:val="fontstyle11"/>
                <w:sz w:val="20"/>
                <w:szCs w:val="20"/>
              </w:rPr>
              <w:t>vegetation</w:t>
            </w:r>
            <w:r>
              <w:rPr>
                <w:rFonts w:ascii="Calibri" w:hAnsi="Calibri" w:cs="Calibri"/>
                <w:color w:val="000000"/>
                <w:sz w:val="20"/>
                <w:szCs w:val="20"/>
              </w:rPr>
              <w:br/>
            </w:r>
            <w:r>
              <w:rPr>
                <w:rStyle w:val="fontstyle11"/>
                <w:sz w:val="20"/>
                <w:szCs w:val="20"/>
              </w:rPr>
              <w:lastRenderedPageBreak/>
              <w:t>4030 European dry heaths</w:t>
            </w:r>
            <w:r>
              <w:rPr>
                <w:rFonts w:ascii="Calibri" w:hAnsi="Calibri" w:cs="Calibri"/>
                <w:color w:val="000000"/>
                <w:sz w:val="20"/>
                <w:szCs w:val="20"/>
              </w:rPr>
              <w:br/>
            </w:r>
            <w:r>
              <w:rPr>
                <w:rStyle w:val="fontstyle11"/>
                <w:sz w:val="20"/>
                <w:szCs w:val="20"/>
              </w:rPr>
              <w:t>6430 Hydrophilous tall herb fringe communities of plains and of the montane to</w:t>
            </w:r>
            <w:r>
              <w:rPr>
                <w:rFonts w:ascii="Calibri" w:hAnsi="Calibri" w:cs="Calibri"/>
                <w:color w:val="000000"/>
                <w:sz w:val="20"/>
                <w:szCs w:val="20"/>
              </w:rPr>
              <w:br/>
            </w:r>
            <w:r>
              <w:rPr>
                <w:rStyle w:val="fontstyle11"/>
                <w:sz w:val="20"/>
                <w:szCs w:val="20"/>
              </w:rPr>
              <w:t>alpine levels</w:t>
            </w:r>
            <w:r>
              <w:rPr>
                <w:rFonts w:ascii="Calibri" w:hAnsi="Calibri" w:cs="Calibri"/>
                <w:color w:val="000000"/>
                <w:sz w:val="20"/>
                <w:szCs w:val="20"/>
              </w:rPr>
              <w:br/>
            </w:r>
            <w:r>
              <w:rPr>
                <w:rStyle w:val="fontstyle11"/>
                <w:sz w:val="20"/>
                <w:szCs w:val="20"/>
              </w:rPr>
              <w:t>7220 * Petrifying springs with tufa formation (</w:t>
            </w:r>
            <w:r>
              <w:rPr>
                <w:rStyle w:val="fontstyle31"/>
              </w:rPr>
              <w:t>Cratoneurion</w:t>
            </w:r>
            <w:r>
              <w:rPr>
                <w:rStyle w:val="fontstyle11"/>
                <w:sz w:val="20"/>
                <w:szCs w:val="20"/>
              </w:rPr>
              <w:t>)</w:t>
            </w:r>
            <w:r>
              <w:rPr>
                <w:rFonts w:ascii="Calibri" w:hAnsi="Calibri" w:cs="Calibri"/>
                <w:color w:val="000000"/>
                <w:sz w:val="20"/>
                <w:szCs w:val="20"/>
              </w:rPr>
              <w:br/>
            </w:r>
            <w:r>
              <w:rPr>
                <w:rStyle w:val="fontstyle11"/>
                <w:sz w:val="20"/>
                <w:szCs w:val="20"/>
              </w:rPr>
              <w:t xml:space="preserve">91A0 Old sessile oak woods with </w:t>
            </w:r>
            <w:r>
              <w:rPr>
                <w:rStyle w:val="fontstyle31"/>
              </w:rPr>
              <w:t xml:space="preserve">Ilex </w:t>
            </w:r>
            <w:r>
              <w:rPr>
                <w:rStyle w:val="fontstyle11"/>
                <w:sz w:val="20"/>
                <w:szCs w:val="20"/>
              </w:rPr>
              <w:t xml:space="preserve">and </w:t>
            </w:r>
            <w:r>
              <w:rPr>
                <w:rStyle w:val="fontstyle31"/>
              </w:rPr>
              <w:t xml:space="preserve">Blechnum </w:t>
            </w:r>
            <w:r>
              <w:rPr>
                <w:rStyle w:val="fontstyle11"/>
                <w:sz w:val="20"/>
                <w:szCs w:val="20"/>
              </w:rPr>
              <w:t>in the British Isles</w:t>
            </w:r>
            <w:r>
              <w:rPr>
                <w:rFonts w:ascii="Calibri" w:hAnsi="Calibri" w:cs="Calibri"/>
                <w:color w:val="000000"/>
                <w:sz w:val="20"/>
                <w:szCs w:val="20"/>
              </w:rPr>
              <w:br/>
            </w:r>
            <w:r>
              <w:rPr>
                <w:rStyle w:val="fontstyle11"/>
                <w:sz w:val="20"/>
                <w:szCs w:val="20"/>
              </w:rPr>
              <w:t xml:space="preserve">91E0 * Alluvial forests with </w:t>
            </w:r>
            <w:r>
              <w:rPr>
                <w:rStyle w:val="fontstyle31"/>
              </w:rPr>
              <w:t xml:space="preserve">Alnus glutinosa </w:t>
            </w:r>
            <w:r>
              <w:rPr>
                <w:rStyle w:val="fontstyle11"/>
                <w:sz w:val="20"/>
                <w:szCs w:val="20"/>
              </w:rPr>
              <w:t xml:space="preserve">and </w:t>
            </w:r>
            <w:r>
              <w:rPr>
                <w:rStyle w:val="fontstyle31"/>
              </w:rPr>
              <w:t xml:space="preserve">Fraxinus excelsior </w:t>
            </w:r>
            <w:r>
              <w:rPr>
                <w:rStyle w:val="fontstyle11"/>
                <w:sz w:val="20"/>
                <w:szCs w:val="20"/>
              </w:rPr>
              <w:t>(</w:t>
            </w:r>
            <w:r>
              <w:rPr>
                <w:rStyle w:val="fontstyle31"/>
              </w:rPr>
              <w:t>Alno</w:t>
            </w:r>
            <w:r>
              <w:rPr>
                <w:rStyle w:val="fontstyle31"/>
                <w:rFonts w:ascii="Cambria Math" w:hAnsi="Cambria Math" w:cs="Cambria Math"/>
              </w:rPr>
              <w:t>‐</w:t>
            </w:r>
            <w:r>
              <w:rPr>
                <w:rStyle w:val="fontstyle31"/>
              </w:rPr>
              <w:t>Padion</w:t>
            </w:r>
            <w:r>
              <w:rPr>
                <w:rStyle w:val="fontstyle11"/>
                <w:sz w:val="20"/>
                <w:szCs w:val="20"/>
              </w:rPr>
              <w:t>,</w:t>
            </w:r>
            <w:r>
              <w:rPr>
                <w:rFonts w:ascii="Calibri" w:hAnsi="Calibri" w:cs="Calibri"/>
                <w:color w:val="000000"/>
                <w:sz w:val="20"/>
                <w:szCs w:val="20"/>
              </w:rPr>
              <w:br/>
            </w:r>
            <w:r>
              <w:rPr>
                <w:rStyle w:val="fontstyle31"/>
              </w:rPr>
              <w:t>Alnion incanae</w:t>
            </w:r>
            <w:r>
              <w:rPr>
                <w:rStyle w:val="fontstyle11"/>
                <w:sz w:val="20"/>
                <w:szCs w:val="20"/>
              </w:rPr>
              <w:t xml:space="preserve">, </w:t>
            </w:r>
            <w:r>
              <w:rPr>
                <w:rStyle w:val="fontstyle31"/>
              </w:rPr>
              <w:t>Salicion albae</w:t>
            </w:r>
            <w:r>
              <w:rPr>
                <w:rStyle w:val="fontstyle11"/>
                <w:sz w:val="20"/>
                <w:szCs w:val="20"/>
              </w:rPr>
              <w:t>)</w:t>
            </w:r>
          </w:p>
          <w:p w:rsidR="00A00CAB" w:rsidRDefault="00A00CAB" w:rsidP="00A66877">
            <w:pPr>
              <w:rPr>
                <w:rFonts w:ascii="Arial" w:hAnsi="Arial" w:cs="Arial"/>
                <w:b/>
                <w:sz w:val="20"/>
                <w:szCs w:val="20"/>
                <w:lang w:val="en-IE"/>
              </w:rPr>
            </w:pPr>
          </w:p>
        </w:tc>
      </w:tr>
    </w:tbl>
    <w:p w:rsidR="00251AF3" w:rsidRDefault="00251AF3" w:rsidP="00540CD7">
      <w:pPr>
        <w:rPr>
          <w:rFonts w:ascii="Trebuchet MS" w:hAnsi="Trebuchet MS"/>
          <w:b/>
          <w:lang w:val="en-IE"/>
        </w:rPr>
      </w:pPr>
    </w:p>
    <w:p w:rsidR="00540CD7" w:rsidRPr="000E7007" w:rsidRDefault="00540CD7" w:rsidP="00540CD7">
      <w:pPr>
        <w:rPr>
          <w:rFonts w:ascii="Trebuchet MS" w:hAnsi="Trebuchet MS"/>
          <w:b/>
          <w:sz w:val="20"/>
          <w:szCs w:val="20"/>
          <w:lang w:val="en-IE"/>
        </w:rPr>
      </w:pP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720"/>
      </w:tblGrid>
      <w:tr w:rsidR="000E7007" w:rsidRPr="00326D24" w:rsidTr="00953386">
        <w:trPr>
          <w:trHeight w:val="150"/>
        </w:trPr>
        <w:tc>
          <w:tcPr>
            <w:tcW w:w="8618" w:type="dxa"/>
            <w:gridSpan w:val="2"/>
          </w:tcPr>
          <w:p w:rsidR="00326D24" w:rsidRPr="00326D24" w:rsidRDefault="00326D24" w:rsidP="000E7007">
            <w:pPr>
              <w:rPr>
                <w:rFonts w:ascii="Arial" w:hAnsi="Arial" w:cs="Arial"/>
                <w:b/>
                <w:sz w:val="20"/>
                <w:szCs w:val="20"/>
                <w:lang w:val="en-IE"/>
              </w:rPr>
            </w:pPr>
          </w:p>
          <w:p w:rsidR="000E7007" w:rsidRPr="00326D24" w:rsidRDefault="00326D24" w:rsidP="009E63A1">
            <w:pPr>
              <w:rPr>
                <w:rFonts w:ascii="Arial" w:hAnsi="Arial" w:cs="Arial"/>
                <w:b/>
                <w:i/>
                <w:color w:val="808080" w:themeColor="background1" w:themeShade="80"/>
                <w:sz w:val="20"/>
                <w:szCs w:val="20"/>
                <w:lang w:val="en-IE"/>
              </w:rPr>
            </w:pPr>
            <w:r>
              <w:rPr>
                <w:rFonts w:ascii="Arial" w:hAnsi="Arial" w:cs="Arial"/>
                <w:b/>
                <w:sz w:val="20"/>
                <w:szCs w:val="20"/>
                <w:lang w:val="en-IE"/>
              </w:rPr>
              <w:t xml:space="preserve">1.0   </w:t>
            </w:r>
            <w:r w:rsidR="000E7007" w:rsidRPr="00326D24">
              <w:rPr>
                <w:rFonts w:ascii="Arial" w:hAnsi="Arial" w:cs="Arial"/>
                <w:b/>
                <w:sz w:val="20"/>
                <w:szCs w:val="20"/>
                <w:lang w:val="en-IE"/>
              </w:rPr>
              <w:t>Name of project or plan</w:t>
            </w:r>
          </w:p>
        </w:tc>
      </w:tr>
      <w:tr w:rsidR="00540CD7" w:rsidRPr="00326D24" w:rsidTr="00953386">
        <w:trPr>
          <w:trHeight w:val="150"/>
        </w:trPr>
        <w:tc>
          <w:tcPr>
            <w:tcW w:w="2898" w:type="dxa"/>
          </w:tcPr>
          <w:p w:rsidR="00326D24" w:rsidRDefault="00326D24" w:rsidP="006E6A2F">
            <w:pPr>
              <w:rPr>
                <w:rFonts w:ascii="Arial" w:hAnsi="Arial" w:cs="Arial"/>
                <w:sz w:val="20"/>
                <w:szCs w:val="20"/>
                <w:lang w:val="en-IE"/>
              </w:rPr>
            </w:pPr>
          </w:p>
          <w:p w:rsidR="00540CD7" w:rsidRPr="00481A8B" w:rsidRDefault="00540CD7" w:rsidP="009E63A1">
            <w:pPr>
              <w:rPr>
                <w:rFonts w:ascii="Arial" w:hAnsi="Arial" w:cs="Arial"/>
                <w:b/>
                <w:sz w:val="20"/>
                <w:szCs w:val="20"/>
                <w:lang w:val="en-IE"/>
              </w:rPr>
            </w:pPr>
            <w:r w:rsidRPr="00481A8B">
              <w:rPr>
                <w:rFonts w:ascii="Arial" w:hAnsi="Arial" w:cs="Arial"/>
                <w:b/>
                <w:sz w:val="20"/>
                <w:szCs w:val="20"/>
                <w:lang w:val="en-IE"/>
              </w:rPr>
              <w:t>Name and location of Natura 2000 site</w:t>
            </w:r>
          </w:p>
        </w:tc>
        <w:tc>
          <w:tcPr>
            <w:tcW w:w="5720" w:type="dxa"/>
          </w:tcPr>
          <w:p w:rsidR="00B91F5E" w:rsidRDefault="00B91F5E" w:rsidP="00881679">
            <w:pPr>
              <w:rPr>
                <w:rFonts w:ascii="Arial" w:hAnsi="Arial" w:cs="Arial"/>
                <w:sz w:val="20"/>
                <w:szCs w:val="20"/>
                <w:lang w:val="en-IE"/>
              </w:rPr>
            </w:pPr>
          </w:p>
          <w:p w:rsidR="00540CD7" w:rsidRPr="00481A8B" w:rsidRDefault="00B91F5E" w:rsidP="00881679">
            <w:pPr>
              <w:rPr>
                <w:rFonts w:ascii="Arial" w:hAnsi="Arial" w:cs="Arial"/>
                <w:i/>
                <w:color w:val="808080" w:themeColor="background1" w:themeShade="80"/>
                <w:sz w:val="20"/>
                <w:szCs w:val="20"/>
                <w:lang w:val="en-IE"/>
              </w:rPr>
            </w:pPr>
            <w:r w:rsidRPr="00481A8B">
              <w:rPr>
                <w:rFonts w:ascii="Arial" w:hAnsi="Arial" w:cs="Arial"/>
                <w:sz w:val="20"/>
                <w:szCs w:val="20"/>
                <w:lang w:val="en-IE"/>
              </w:rPr>
              <w:t>River Barrow and River Nore SAC</w:t>
            </w:r>
            <w:r w:rsidR="00DE0D4E">
              <w:rPr>
                <w:rFonts w:ascii="Arial" w:hAnsi="Arial" w:cs="Arial"/>
                <w:sz w:val="20"/>
                <w:szCs w:val="20"/>
                <w:lang w:val="en-IE"/>
              </w:rPr>
              <w:t xml:space="preserve"> – Appendix A</w:t>
            </w:r>
          </w:p>
        </w:tc>
      </w:tr>
      <w:tr w:rsidR="00540CD7" w:rsidRPr="00326D24" w:rsidTr="00953386">
        <w:trPr>
          <w:trHeight w:val="150"/>
        </w:trPr>
        <w:tc>
          <w:tcPr>
            <w:tcW w:w="2898" w:type="dxa"/>
          </w:tcPr>
          <w:p w:rsidR="00326D24" w:rsidRPr="00481A8B" w:rsidRDefault="00326D24" w:rsidP="006E6A2F">
            <w:pPr>
              <w:rPr>
                <w:rFonts w:ascii="Arial" w:hAnsi="Arial" w:cs="Arial"/>
                <w:b/>
                <w:sz w:val="20"/>
                <w:szCs w:val="20"/>
                <w:lang w:val="en-IE"/>
              </w:rPr>
            </w:pPr>
          </w:p>
          <w:p w:rsidR="00540CD7" w:rsidRPr="00481A8B" w:rsidRDefault="00540CD7" w:rsidP="006E6A2F">
            <w:pPr>
              <w:rPr>
                <w:rFonts w:ascii="Arial" w:hAnsi="Arial" w:cs="Arial"/>
                <w:b/>
                <w:sz w:val="20"/>
                <w:szCs w:val="20"/>
                <w:lang w:val="en-IE"/>
              </w:rPr>
            </w:pPr>
            <w:r w:rsidRPr="00481A8B">
              <w:rPr>
                <w:rFonts w:ascii="Arial" w:hAnsi="Arial" w:cs="Arial"/>
                <w:b/>
                <w:sz w:val="20"/>
                <w:szCs w:val="20"/>
                <w:lang w:val="en-IE"/>
              </w:rPr>
              <w:t>Description of the project or plan</w:t>
            </w:r>
          </w:p>
          <w:p w:rsidR="00540CD7" w:rsidRPr="00481A8B" w:rsidRDefault="00540CD7" w:rsidP="006E6A2F">
            <w:pPr>
              <w:rPr>
                <w:rFonts w:ascii="Arial" w:hAnsi="Arial" w:cs="Arial"/>
                <w:b/>
                <w:sz w:val="20"/>
                <w:szCs w:val="20"/>
                <w:lang w:val="en-IE"/>
              </w:rPr>
            </w:pPr>
          </w:p>
        </w:tc>
        <w:tc>
          <w:tcPr>
            <w:tcW w:w="5720" w:type="dxa"/>
          </w:tcPr>
          <w:p w:rsidR="001E4951" w:rsidRDefault="001E4951" w:rsidP="00881679">
            <w:pPr>
              <w:jc w:val="both"/>
              <w:rPr>
                <w:rFonts w:ascii="Arial" w:hAnsi="Arial" w:cs="Arial"/>
                <w:i/>
                <w:color w:val="808080" w:themeColor="background1" w:themeShade="80"/>
                <w:sz w:val="20"/>
                <w:szCs w:val="20"/>
                <w:lang w:val="en-IE"/>
              </w:rPr>
            </w:pPr>
          </w:p>
          <w:p w:rsidR="00B91F5E" w:rsidRPr="00481A8B" w:rsidRDefault="00B91F5E" w:rsidP="00B91F5E">
            <w:pPr>
              <w:rPr>
                <w:rFonts w:ascii="Arial" w:hAnsi="Arial" w:cs="Arial"/>
                <w:sz w:val="20"/>
                <w:szCs w:val="20"/>
                <w:lang w:val="en-IE"/>
              </w:rPr>
            </w:pPr>
            <w:r w:rsidRPr="00481A8B">
              <w:rPr>
                <w:rFonts w:ascii="Arial" w:hAnsi="Arial" w:cs="Arial"/>
                <w:sz w:val="20"/>
                <w:szCs w:val="20"/>
                <w:lang w:val="en-IE"/>
              </w:rPr>
              <w:t>Provision of a new footpath over the existing railway bridge in Kildangan Village and improvements to existing footpaths either side of the railway bridge, provision of public lighting, installation of traffic signals, establishment of one way shuttle traffic system and pedestrian crossings at railway bridge and associated works.</w:t>
            </w:r>
          </w:p>
          <w:p w:rsidR="001E4951" w:rsidRPr="00326D24" w:rsidRDefault="001E4951" w:rsidP="00881679">
            <w:pPr>
              <w:jc w:val="both"/>
              <w:rPr>
                <w:rFonts w:ascii="Arial" w:hAnsi="Arial" w:cs="Arial"/>
                <w:color w:val="808080" w:themeColor="background1" w:themeShade="80"/>
                <w:sz w:val="20"/>
                <w:szCs w:val="20"/>
              </w:rPr>
            </w:pPr>
          </w:p>
        </w:tc>
      </w:tr>
      <w:tr w:rsidR="00540CD7" w:rsidRPr="00326D24" w:rsidTr="00953386">
        <w:trPr>
          <w:trHeight w:val="150"/>
        </w:trPr>
        <w:tc>
          <w:tcPr>
            <w:tcW w:w="2898" w:type="dxa"/>
            <w:tcBorders>
              <w:bottom w:val="single" w:sz="4" w:space="0" w:color="auto"/>
            </w:tcBorders>
          </w:tcPr>
          <w:p w:rsidR="00326D24" w:rsidRDefault="00326D24" w:rsidP="006E6A2F">
            <w:pPr>
              <w:rPr>
                <w:rFonts w:ascii="Arial" w:hAnsi="Arial" w:cs="Arial"/>
                <w:sz w:val="20"/>
                <w:szCs w:val="20"/>
                <w:lang w:val="en-IE"/>
              </w:rPr>
            </w:pPr>
          </w:p>
          <w:p w:rsidR="00540CD7" w:rsidRPr="00481A8B" w:rsidRDefault="00540CD7" w:rsidP="009E63A1">
            <w:pPr>
              <w:rPr>
                <w:rFonts w:ascii="Arial" w:hAnsi="Arial" w:cs="Arial"/>
                <w:b/>
                <w:sz w:val="20"/>
                <w:szCs w:val="20"/>
                <w:lang w:val="en-IE"/>
              </w:rPr>
            </w:pPr>
            <w:r w:rsidRPr="00481A8B">
              <w:rPr>
                <w:rFonts w:ascii="Arial" w:hAnsi="Arial" w:cs="Arial"/>
                <w:b/>
                <w:sz w:val="20"/>
                <w:szCs w:val="20"/>
                <w:lang w:val="en-IE"/>
              </w:rPr>
              <w:t>Is the project or plan directly connected with or necessary to the management of the site (provide details)?</w:t>
            </w:r>
          </w:p>
        </w:tc>
        <w:tc>
          <w:tcPr>
            <w:tcW w:w="5720" w:type="dxa"/>
            <w:tcBorders>
              <w:bottom w:val="single" w:sz="4" w:space="0" w:color="auto"/>
            </w:tcBorders>
          </w:tcPr>
          <w:p w:rsidR="003E6B5A" w:rsidRDefault="003E6B5A" w:rsidP="006E6A2F">
            <w:pPr>
              <w:rPr>
                <w:rFonts w:ascii="Arial" w:hAnsi="Arial" w:cs="Arial"/>
                <w:i/>
                <w:color w:val="808080" w:themeColor="background1" w:themeShade="80"/>
                <w:sz w:val="20"/>
                <w:szCs w:val="20"/>
              </w:rPr>
            </w:pPr>
          </w:p>
          <w:p w:rsidR="00B91F5E" w:rsidRPr="00481A8B" w:rsidRDefault="00B91F5E" w:rsidP="006E6A2F">
            <w:pPr>
              <w:rPr>
                <w:rFonts w:ascii="Arial" w:hAnsi="Arial" w:cs="Arial"/>
                <w:sz w:val="20"/>
                <w:szCs w:val="20"/>
              </w:rPr>
            </w:pPr>
            <w:r w:rsidRPr="00481A8B">
              <w:rPr>
                <w:rFonts w:ascii="Arial" w:hAnsi="Arial" w:cs="Arial"/>
                <w:sz w:val="20"/>
                <w:szCs w:val="20"/>
              </w:rPr>
              <w:t>No</w:t>
            </w:r>
          </w:p>
        </w:tc>
      </w:tr>
      <w:tr w:rsidR="00881679" w:rsidRPr="00326D24" w:rsidTr="00953386">
        <w:trPr>
          <w:trHeight w:val="150"/>
        </w:trPr>
        <w:tc>
          <w:tcPr>
            <w:tcW w:w="2898" w:type="dxa"/>
            <w:tcBorders>
              <w:bottom w:val="single" w:sz="4" w:space="0" w:color="auto"/>
            </w:tcBorders>
          </w:tcPr>
          <w:p w:rsidR="00326D24" w:rsidRDefault="00326D24" w:rsidP="006E6A2F">
            <w:pPr>
              <w:rPr>
                <w:rFonts w:ascii="Arial" w:hAnsi="Arial" w:cs="Arial"/>
                <w:sz w:val="20"/>
                <w:szCs w:val="20"/>
                <w:lang w:val="en-IE"/>
              </w:rPr>
            </w:pPr>
          </w:p>
          <w:p w:rsidR="00326D24" w:rsidRPr="00481A8B" w:rsidRDefault="00881679" w:rsidP="009E63A1">
            <w:pPr>
              <w:rPr>
                <w:rFonts w:ascii="Arial" w:hAnsi="Arial" w:cs="Arial"/>
                <w:b/>
                <w:sz w:val="20"/>
                <w:szCs w:val="20"/>
                <w:lang w:val="en-IE"/>
              </w:rPr>
            </w:pPr>
            <w:r w:rsidRPr="00481A8B">
              <w:rPr>
                <w:rFonts w:ascii="Arial" w:hAnsi="Arial" w:cs="Arial"/>
                <w:b/>
                <w:sz w:val="20"/>
                <w:szCs w:val="20"/>
                <w:lang w:val="en-IE"/>
              </w:rPr>
              <w:t>Are there other projects or plans that together with the project or plan being assessed could affect the site (provide details)?</w:t>
            </w:r>
          </w:p>
        </w:tc>
        <w:tc>
          <w:tcPr>
            <w:tcW w:w="5720" w:type="dxa"/>
            <w:tcBorders>
              <w:bottom w:val="single" w:sz="4" w:space="0" w:color="auto"/>
            </w:tcBorders>
          </w:tcPr>
          <w:p w:rsidR="001E4951" w:rsidRDefault="001E4951" w:rsidP="006E6A2F">
            <w:pPr>
              <w:rPr>
                <w:rFonts w:ascii="Arial" w:hAnsi="Arial" w:cs="Arial"/>
                <w:i/>
                <w:color w:val="808080" w:themeColor="background1" w:themeShade="80"/>
                <w:sz w:val="20"/>
                <w:szCs w:val="20"/>
              </w:rPr>
            </w:pPr>
          </w:p>
          <w:p w:rsidR="00326D24" w:rsidRPr="00481A8B" w:rsidRDefault="00B91F5E" w:rsidP="006E6A2F">
            <w:pPr>
              <w:rPr>
                <w:rFonts w:ascii="Arial" w:hAnsi="Arial" w:cs="Arial"/>
                <w:i/>
                <w:color w:val="808080" w:themeColor="background1" w:themeShade="80"/>
                <w:sz w:val="20"/>
                <w:szCs w:val="20"/>
              </w:rPr>
            </w:pPr>
            <w:r w:rsidRPr="00481A8B">
              <w:rPr>
                <w:rFonts w:ascii="Arial" w:hAnsi="Arial" w:cs="Arial"/>
                <w:sz w:val="20"/>
                <w:szCs w:val="20"/>
              </w:rPr>
              <w:t>There are no other projects or plans in Kildangan Village which, with this project, would affect this SAC.</w:t>
            </w:r>
          </w:p>
          <w:p w:rsidR="00326D24" w:rsidRPr="00481A8B" w:rsidRDefault="00326D24" w:rsidP="006E6A2F">
            <w:pPr>
              <w:rPr>
                <w:rFonts w:ascii="Arial" w:hAnsi="Arial" w:cs="Arial"/>
                <w:i/>
                <w:color w:val="808080" w:themeColor="background1" w:themeShade="80"/>
                <w:sz w:val="20"/>
                <w:szCs w:val="20"/>
              </w:rPr>
            </w:pPr>
          </w:p>
          <w:p w:rsidR="00326D24" w:rsidRDefault="00326D24" w:rsidP="006E6A2F">
            <w:pPr>
              <w:rPr>
                <w:rFonts w:ascii="Arial" w:hAnsi="Arial" w:cs="Arial"/>
                <w:i/>
                <w:color w:val="808080" w:themeColor="background1" w:themeShade="80"/>
                <w:sz w:val="20"/>
                <w:szCs w:val="20"/>
              </w:rPr>
            </w:pPr>
          </w:p>
          <w:p w:rsidR="00326D24" w:rsidRDefault="00326D24" w:rsidP="006E6A2F">
            <w:pPr>
              <w:rPr>
                <w:rFonts w:ascii="Arial" w:hAnsi="Arial" w:cs="Arial"/>
                <w:i/>
                <w:color w:val="808080" w:themeColor="background1" w:themeShade="80"/>
                <w:sz w:val="20"/>
                <w:szCs w:val="20"/>
              </w:rPr>
            </w:pPr>
          </w:p>
          <w:p w:rsidR="00326D24" w:rsidRDefault="00326D24" w:rsidP="006E6A2F">
            <w:pPr>
              <w:rPr>
                <w:rFonts w:ascii="Arial" w:hAnsi="Arial" w:cs="Arial"/>
                <w:i/>
                <w:color w:val="808080" w:themeColor="background1" w:themeShade="80"/>
                <w:sz w:val="20"/>
                <w:szCs w:val="20"/>
              </w:rPr>
            </w:pPr>
          </w:p>
          <w:p w:rsidR="00326D24" w:rsidRPr="00326D24" w:rsidRDefault="00326D24" w:rsidP="006E6A2F">
            <w:pPr>
              <w:rPr>
                <w:rFonts w:ascii="Arial" w:hAnsi="Arial" w:cs="Arial"/>
                <w:color w:val="808080" w:themeColor="background1" w:themeShade="80"/>
                <w:sz w:val="20"/>
                <w:szCs w:val="20"/>
              </w:rPr>
            </w:pPr>
          </w:p>
        </w:tc>
      </w:tr>
      <w:tr w:rsidR="00540CD7" w:rsidRPr="00326D24" w:rsidTr="00953386">
        <w:trPr>
          <w:trHeight w:val="150"/>
        </w:trPr>
        <w:tc>
          <w:tcPr>
            <w:tcW w:w="8618" w:type="dxa"/>
            <w:gridSpan w:val="2"/>
            <w:shd w:val="clear" w:color="auto" w:fill="FFFFFF" w:themeFill="background1"/>
          </w:tcPr>
          <w:p w:rsidR="00394769" w:rsidRPr="00326D24" w:rsidRDefault="00394769" w:rsidP="006E6A2F">
            <w:pPr>
              <w:rPr>
                <w:rFonts w:ascii="Arial" w:hAnsi="Arial" w:cs="Arial"/>
                <w:b/>
                <w:sz w:val="20"/>
                <w:szCs w:val="20"/>
                <w:lang w:val="en-IE"/>
              </w:rPr>
            </w:pPr>
          </w:p>
          <w:p w:rsidR="00540CD7" w:rsidRPr="00326D24" w:rsidRDefault="00326D24" w:rsidP="006E6A2F">
            <w:pPr>
              <w:rPr>
                <w:rFonts w:ascii="Arial" w:hAnsi="Arial" w:cs="Arial"/>
                <w:b/>
                <w:sz w:val="20"/>
                <w:szCs w:val="20"/>
                <w:lang w:val="en-IE"/>
              </w:rPr>
            </w:pPr>
            <w:r>
              <w:rPr>
                <w:rFonts w:ascii="Arial" w:hAnsi="Arial" w:cs="Arial"/>
                <w:b/>
                <w:sz w:val="20"/>
                <w:szCs w:val="20"/>
                <w:lang w:val="en-IE"/>
              </w:rPr>
              <w:t xml:space="preserve">2.0    </w:t>
            </w:r>
            <w:r w:rsidR="00540CD7" w:rsidRPr="00326D24">
              <w:rPr>
                <w:rFonts w:ascii="Arial" w:hAnsi="Arial" w:cs="Arial"/>
                <w:b/>
                <w:sz w:val="20"/>
                <w:szCs w:val="20"/>
                <w:lang w:val="en-IE"/>
              </w:rPr>
              <w:t>The assessment of significance of effects</w:t>
            </w:r>
          </w:p>
          <w:p w:rsidR="00540CD7" w:rsidRPr="00326D24" w:rsidRDefault="00540CD7" w:rsidP="006E6A2F">
            <w:pPr>
              <w:rPr>
                <w:rFonts w:ascii="Arial" w:hAnsi="Arial" w:cs="Arial"/>
                <w:sz w:val="20"/>
                <w:szCs w:val="20"/>
                <w:u w:val="single"/>
              </w:rPr>
            </w:pPr>
          </w:p>
        </w:tc>
      </w:tr>
      <w:tr w:rsidR="00540CD7" w:rsidRPr="00326D24" w:rsidTr="00953386">
        <w:trPr>
          <w:trHeight w:val="150"/>
        </w:trPr>
        <w:tc>
          <w:tcPr>
            <w:tcW w:w="2898" w:type="dxa"/>
          </w:tcPr>
          <w:p w:rsidR="00326D24" w:rsidRDefault="00326D24" w:rsidP="006E6A2F">
            <w:pPr>
              <w:rPr>
                <w:rFonts w:ascii="Arial" w:hAnsi="Arial" w:cs="Arial"/>
                <w:sz w:val="20"/>
                <w:szCs w:val="20"/>
                <w:lang w:val="en-IE"/>
              </w:rPr>
            </w:pPr>
          </w:p>
          <w:p w:rsidR="00540CD7" w:rsidRPr="00481A8B" w:rsidRDefault="00540CD7" w:rsidP="006E6A2F">
            <w:pPr>
              <w:rPr>
                <w:rFonts w:ascii="Arial" w:hAnsi="Arial" w:cs="Arial"/>
                <w:b/>
                <w:sz w:val="20"/>
                <w:szCs w:val="20"/>
                <w:lang w:val="en-IE"/>
              </w:rPr>
            </w:pPr>
            <w:r w:rsidRPr="00481A8B">
              <w:rPr>
                <w:rFonts w:ascii="Arial" w:hAnsi="Arial" w:cs="Arial"/>
                <w:b/>
                <w:sz w:val="20"/>
                <w:szCs w:val="20"/>
                <w:lang w:val="en-IE"/>
              </w:rPr>
              <w:t>Describe how the project or plan (alone or in combination) is likely to affect the Natura 2000 Site.</w:t>
            </w:r>
          </w:p>
          <w:p w:rsidR="00540CD7" w:rsidRPr="00326D24" w:rsidRDefault="00540CD7" w:rsidP="006E6A2F">
            <w:pPr>
              <w:rPr>
                <w:rFonts w:ascii="Arial" w:hAnsi="Arial" w:cs="Arial"/>
                <w:sz w:val="20"/>
                <w:szCs w:val="20"/>
                <w:lang w:val="en-IE"/>
              </w:rPr>
            </w:pPr>
          </w:p>
        </w:tc>
        <w:tc>
          <w:tcPr>
            <w:tcW w:w="5720" w:type="dxa"/>
          </w:tcPr>
          <w:p w:rsidR="00326D24" w:rsidRDefault="00326D24" w:rsidP="00881679">
            <w:pPr>
              <w:jc w:val="both"/>
              <w:rPr>
                <w:rFonts w:ascii="Arial" w:hAnsi="Arial" w:cs="Arial"/>
                <w:i/>
                <w:color w:val="808080" w:themeColor="background1" w:themeShade="80"/>
                <w:sz w:val="20"/>
                <w:szCs w:val="20"/>
              </w:rPr>
            </w:pPr>
          </w:p>
          <w:p w:rsidR="009E63A1" w:rsidRDefault="009E63A1" w:rsidP="009E63A1">
            <w:pPr>
              <w:jc w:val="both"/>
              <w:rPr>
                <w:rFonts w:ascii="Arial" w:hAnsi="Arial" w:cs="Arial"/>
                <w:sz w:val="20"/>
                <w:szCs w:val="20"/>
                <w:lang w:val="en-IE"/>
              </w:rPr>
            </w:pPr>
            <w:r>
              <w:rPr>
                <w:rFonts w:ascii="Arial" w:hAnsi="Arial" w:cs="Arial"/>
                <w:sz w:val="20"/>
                <w:szCs w:val="20"/>
                <w:lang w:val="en-IE"/>
              </w:rPr>
              <w:t>There are no likely impacts arising from the proposed development on Natura 2000 sites due to the fact that:</w:t>
            </w:r>
          </w:p>
          <w:p w:rsidR="009E63A1" w:rsidRDefault="009E63A1" w:rsidP="009E63A1">
            <w:pPr>
              <w:jc w:val="both"/>
              <w:rPr>
                <w:rFonts w:ascii="Arial" w:hAnsi="Arial" w:cs="Arial"/>
                <w:sz w:val="20"/>
                <w:szCs w:val="20"/>
                <w:lang w:val="en-IE"/>
              </w:rPr>
            </w:pPr>
          </w:p>
          <w:p w:rsidR="009E63A1" w:rsidRPr="009E63A1" w:rsidRDefault="009E63A1" w:rsidP="009E63A1">
            <w:pPr>
              <w:pStyle w:val="ListParagraph"/>
              <w:numPr>
                <w:ilvl w:val="0"/>
                <w:numId w:val="9"/>
              </w:numPr>
              <w:jc w:val="both"/>
              <w:rPr>
                <w:rFonts w:ascii="Arial" w:hAnsi="Arial" w:cs="Arial"/>
                <w:i/>
                <w:color w:val="808080" w:themeColor="background1" w:themeShade="80"/>
                <w:sz w:val="20"/>
                <w:szCs w:val="20"/>
              </w:rPr>
            </w:pPr>
            <w:r w:rsidRPr="009E63A1">
              <w:rPr>
                <w:rFonts w:ascii="Arial" w:hAnsi="Arial" w:cs="Arial"/>
                <w:sz w:val="20"/>
                <w:szCs w:val="20"/>
                <w:lang w:val="en-IE"/>
              </w:rPr>
              <w:t xml:space="preserve">The works are to be undertaken within the footprint of the existing railway bridge and public road on </w:t>
            </w:r>
            <w:r w:rsidR="00481A8B">
              <w:rPr>
                <w:rFonts w:ascii="Arial" w:hAnsi="Arial" w:cs="Arial"/>
                <w:sz w:val="20"/>
                <w:szCs w:val="20"/>
                <w:lang w:val="en-IE"/>
              </w:rPr>
              <w:t>both ends</w:t>
            </w:r>
            <w:r w:rsidRPr="009E63A1">
              <w:rPr>
                <w:rFonts w:ascii="Arial" w:hAnsi="Arial" w:cs="Arial"/>
                <w:sz w:val="20"/>
                <w:szCs w:val="20"/>
                <w:lang w:val="en-IE"/>
              </w:rPr>
              <w:t xml:space="preserve"> of the railway bridge with no works being undertaken outside of this defined area. </w:t>
            </w:r>
          </w:p>
          <w:p w:rsidR="009E63A1" w:rsidRPr="009E63A1" w:rsidRDefault="009E63A1" w:rsidP="009E63A1">
            <w:pPr>
              <w:pStyle w:val="ListParagraph"/>
              <w:jc w:val="both"/>
              <w:rPr>
                <w:rFonts w:ascii="Arial" w:hAnsi="Arial" w:cs="Arial"/>
                <w:i/>
                <w:color w:val="808080" w:themeColor="background1" w:themeShade="80"/>
                <w:sz w:val="20"/>
                <w:szCs w:val="20"/>
              </w:rPr>
            </w:pPr>
          </w:p>
          <w:p w:rsidR="003E6B5A" w:rsidRPr="00A66877" w:rsidRDefault="009E63A1" w:rsidP="009E63A1">
            <w:pPr>
              <w:pStyle w:val="ListParagraph"/>
              <w:numPr>
                <w:ilvl w:val="0"/>
                <w:numId w:val="9"/>
              </w:numPr>
              <w:jc w:val="both"/>
              <w:rPr>
                <w:rFonts w:ascii="Arial" w:hAnsi="Arial" w:cs="Arial"/>
                <w:i/>
                <w:color w:val="808080" w:themeColor="background1" w:themeShade="80"/>
                <w:sz w:val="20"/>
                <w:szCs w:val="20"/>
              </w:rPr>
            </w:pPr>
            <w:r w:rsidRPr="009E63A1">
              <w:rPr>
                <w:rFonts w:ascii="Arial" w:hAnsi="Arial" w:cs="Arial"/>
                <w:sz w:val="20"/>
                <w:szCs w:val="20"/>
                <w:lang w:val="en-IE"/>
              </w:rPr>
              <w:t>A watercourse, which traverses Kildangan Village (North-South) on the western side of the railway bridge</w:t>
            </w:r>
            <w:r w:rsidR="004C788B">
              <w:rPr>
                <w:rFonts w:ascii="Arial" w:hAnsi="Arial" w:cs="Arial"/>
                <w:sz w:val="20"/>
                <w:szCs w:val="20"/>
                <w:lang w:val="en-IE"/>
              </w:rPr>
              <w:t xml:space="preserve"> is</w:t>
            </w:r>
            <w:r w:rsidRPr="009E63A1">
              <w:rPr>
                <w:rFonts w:ascii="Arial" w:hAnsi="Arial" w:cs="Arial"/>
                <w:sz w:val="20"/>
                <w:szCs w:val="20"/>
                <w:lang w:val="en-IE"/>
              </w:rPr>
              <w:t xml:space="preserve"> a tributary of the the River Barrow. As the works area is within the existing railway bridge and roadway, no </w:t>
            </w:r>
            <w:r w:rsidR="00A66877">
              <w:rPr>
                <w:rFonts w:ascii="Arial" w:hAnsi="Arial" w:cs="Arial"/>
                <w:sz w:val="20"/>
                <w:szCs w:val="20"/>
                <w:lang w:val="en-IE"/>
              </w:rPr>
              <w:t xml:space="preserve">significant </w:t>
            </w:r>
            <w:r w:rsidRPr="009E63A1">
              <w:rPr>
                <w:rFonts w:ascii="Arial" w:hAnsi="Arial" w:cs="Arial"/>
                <w:sz w:val="20"/>
                <w:szCs w:val="20"/>
                <w:lang w:val="en-IE"/>
              </w:rPr>
              <w:t xml:space="preserve">impact </w:t>
            </w:r>
            <w:r w:rsidR="00A66877">
              <w:rPr>
                <w:rFonts w:ascii="Arial" w:hAnsi="Arial" w:cs="Arial"/>
                <w:sz w:val="20"/>
                <w:szCs w:val="20"/>
                <w:lang w:val="en-IE"/>
              </w:rPr>
              <w:t>will occur</w:t>
            </w:r>
            <w:r w:rsidRPr="009E63A1">
              <w:rPr>
                <w:rFonts w:ascii="Arial" w:hAnsi="Arial" w:cs="Arial"/>
                <w:sz w:val="20"/>
                <w:szCs w:val="20"/>
                <w:lang w:val="en-IE"/>
              </w:rPr>
              <w:t xml:space="preserve"> on this </w:t>
            </w:r>
            <w:r w:rsidRPr="009E63A1">
              <w:rPr>
                <w:rFonts w:ascii="Arial" w:hAnsi="Arial" w:cs="Arial"/>
                <w:sz w:val="20"/>
                <w:szCs w:val="20"/>
                <w:lang w:val="en-IE"/>
              </w:rPr>
              <w:lastRenderedPageBreak/>
              <w:t>watercourse and subsequently the River Barrow and River Nore SAC. The works area is located approximately 6.3km from the River Barrow if this watercourse is followed.</w:t>
            </w:r>
          </w:p>
          <w:p w:rsidR="00A66877" w:rsidRPr="00A66877" w:rsidRDefault="00A66877" w:rsidP="00A66877">
            <w:pPr>
              <w:pStyle w:val="ListParagraph"/>
              <w:rPr>
                <w:rFonts w:ascii="Arial" w:hAnsi="Arial" w:cs="Arial"/>
                <w:i/>
                <w:color w:val="808080" w:themeColor="background1" w:themeShade="80"/>
                <w:sz w:val="20"/>
                <w:szCs w:val="20"/>
              </w:rPr>
            </w:pPr>
          </w:p>
          <w:p w:rsidR="00A66877" w:rsidRPr="00A66877" w:rsidRDefault="00A66877" w:rsidP="009E63A1">
            <w:pPr>
              <w:pStyle w:val="ListParagraph"/>
              <w:numPr>
                <w:ilvl w:val="0"/>
                <w:numId w:val="9"/>
              </w:numPr>
              <w:jc w:val="both"/>
              <w:rPr>
                <w:rFonts w:ascii="Arial" w:hAnsi="Arial" w:cs="Arial"/>
                <w:sz w:val="20"/>
                <w:szCs w:val="20"/>
              </w:rPr>
            </w:pPr>
            <w:r w:rsidRPr="00A66877">
              <w:rPr>
                <w:rFonts w:ascii="Arial" w:hAnsi="Arial" w:cs="Arial"/>
                <w:sz w:val="20"/>
                <w:szCs w:val="20"/>
              </w:rPr>
              <w:t xml:space="preserve">Appropriate site management </w:t>
            </w:r>
            <w:r>
              <w:rPr>
                <w:rFonts w:ascii="Arial" w:hAnsi="Arial" w:cs="Arial"/>
                <w:sz w:val="20"/>
                <w:szCs w:val="20"/>
              </w:rPr>
              <w:t xml:space="preserve">procedures will be followed to </w:t>
            </w:r>
            <w:r w:rsidR="00D7550A">
              <w:rPr>
                <w:rFonts w:ascii="Arial" w:hAnsi="Arial" w:cs="Arial"/>
                <w:sz w:val="20"/>
                <w:szCs w:val="20"/>
              </w:rPr>
              <w:t xml:space="preserve">remove the potential for surface water runoff entering the watercourse during the course of the construction contract. </w:t>
            </w:r>
          </w:p>
          <w:p w:rsidR="00E52659" w:rsidRPr="00A66877" w:rsidRDefault="00E52659" w:rsidP="00E52659">
            <w:pPr>
              <w:pStyle w:val="ListParagraph"/>
              <w:rPr>
                <w:rFonts w:ascii="Arial" w:hAnsi="Arial" w:cs="Arial"/>
                <w:color w:val="808080" w:themeColor="background1" w:themeShade="80"/>
                <w:sz w:val="20"/>
                <w:szCs w:val="20"/>
              </w:rPr>
            </w:pPr>
          </w:p>
          <w:p w:rsidR="00E52659" w:rsidRPr="00326D24" w:rsidRDefault="00E52659" w:rsidP="00E52659">
            <w:pPr>
              <w:pStyle w:val="ListParagraph"/>
              <w:jc w:val="both"/>
              <w:rPr>
                <w:rFonts w:ascii="Arial" w:hAnsi="Arial" w:cs="Arial"/>
                <w:i/>
                <w:color w:val="808080" w:themeColor="background1" w:themeShade="80"/>
                <w:sz w:val="20"/>
                <w:szCs w:val="20"/>
              </w:rPr>
            </w:pPr>
          </w:p>
        </w:tc>
      </w:tr>
      <w:tr w:rsidR="00540CD7" w:rsidRPr="00326D24" w:rsidTr="00953386">
        <w:trPr>
          <w:trHeight w:val="1904"/>
        </w:trPr>
        <w:tc>
          <w:tcPr>
            <w:tcW w:w="2898" w:type="dxa"/>
          </w:tcPr>
          <w:p w:rsidR="00326D24" w:rsidRDefault="00326D24" w:rsidP="006E6A2F">
            <w:pPr>
              <w:rPr>
                <w:rFonts w:ascii="Arial" w:hAnsi="Arial" w:cs="Arial"/>
                <w:sz w:val="20"/>
                <w:szCs w:val="20"/>
                <w:lang w:val="en-IE"/>
              </w:rPr>
            </w:pPr>
          </w:p>
          <w:p w:rsidR="00540CD7" w:rsidRPr="00481A8B" w:rsidRDefault="00540CD7" w:rsidP="006E6A2F">
            <w:pPr>
              <w:rPr>
                <w:rFonts w:ascii="Arial" w:hAnsi="Arial" w:cs="Arial"/>
                <w:b/>
                <w:sz w:val="20"/>
                <w:szCs w:val="20"/>
                <w:lang w:val="en-IE"/>
              </w:rPr>
            </w:pPr>
            <w:r w:rsidRPr="00481A8B">
              <w:rPr>
                <w:rFonts w:ascii="Arial" w:hAnsi="Arial" w:cs="Arial"/>
                <w:b/>
                <w:sz w:val="20"/>
                <w:szCs w:val="20"/>
                <w:lang w:val="en-IE"/>
              </w:rPr>
              <w:t>Explain why these effects are not considered significant.</w:t>
            </w:r>
          </w:p>
          <w:p w:rsidR="00540CD7" w:rsidRPr="00326D24" w:rsidRDefault="00540CD7" w:rsidP="006E6A2F">
            <w:pPr>
              <w:rPr>
                <w:rFonts w:ascii="Arial" w:hAnsi="Arial" w:cs="Arial"/>
                <w:sz w:val="20"/>
                <w:szCs w:val="20"/>
                <w:lang w:val="en-IE"/>
              </w:rPr>
            </w:pPr>
          </w:p>
        </w:tc>
        <w:tc>
          <w:tcPr>
            <w:tcW w:w="5720" w:type="dxa"/>
          </w:tcPr>
          <w:p w:rsidR="00326D24" w:rsidRDefault="00326D24" w:rsidP="006A16A3">
            <w:pPr>
              <w:jc w:val="both"/>
              <w:rPr>
                <w:rFonts w:ascii="Arial" w:hAnsi="Arial" w:cs="Arial"/>
                <w:i/>
                <w:color w:val="808080" w:themeColor="background1" w:themeShade="80"/>
                <w:sz w:val="20"/>
                <w:szCs w:val="20"/>
                <w:lang w:val="en-IE"/>
              </w:rPr>
            </w:pPr>
          </w:p>
          <w:p w:rsidR="00326D24" w:rsidRDefault="00D7550A" w:rsidP="00E52659">
            <w:pPr>
              <w:jc w:val="both"/>
              <w:rPr>
                <w:rFonts w:ascii="Arial" w:hAnsi="Arial" w:cs="Arial"/>
                <w:sz w:val="20"/>
                <w:szCs w:val="20"/>
                <w:lang w:val="en-IE"/>
              </w:rPr>
            </w:pPr>
            <w:r>
              <w:rPr>
                <w:rFonts w:ascii="Arial" w:hAnsi="Arial" w:cs="Arial"/>
                <w:sz w:val="20"/>
                <w:szCs w:val="20"/>
                <w:lang w:val="en-IE"/>
              </w:rPr>
              <w:t>No impacts or effects are expected to be significant d</w:t>
            </w:r>
            <w:r w:rsidR="00B91F5E">
              <w:rPr>
                <w:rFonts w:ascii="Arial" w:hAnsi="Arial" w:cs="Arial"/>
                <w:sz w:val="20"/>
                <w:szCs w:val="20"/>
                <w:lang w:val="en-IE"/>
              </w:rPr>
              <w:t xml:space="preserve">ue to the fact that all works are to be undertaken within the footprint of the existing railway bridge and public road </w:t>
            </w:r>
            <w:r>
              <w:rPr>
                <w:rFonts w:ascii="Arial" w:hAnsi="Arial" w:cs="Arial"/>
                <w:sz w:val="20"/>
                <w:szCs w:val="20"/>
                <w:lang w:val="en-IE"/>
              </w:rPr>
              <w:t xml:space="preserve">(L3010) and </w:t>
            </w:r>
            <w:r w:rsidR="00B91F5E">
              <w:rPr>
                <w:rFonts w:ascii="Arial" w:hAnsi="Arial" w:cs="Arial"/>
                <w:sz w:val="20"/>
                <w:szCs w:val="20"/>
                <w:lang w:val="en-IE"/>
              </w:rPr>
              <w:t xml:space="preserve">that the works to be carried out will be a distance of </w:t>
            </w:r>
            <w:r w:rsidR="00E52659">
              <w:rPr>
                <w:rFonts w:ascii="Arial" w:hAnsi="Arial" w:cs="Arial"/>
                <w:sz w:val="20"/>
                <w:szCs w:val="20"/>
                <w:lang w:val="en-IE"/>
              </w:rPr>
              <w:t>approx. 6.3</w:t>
            </w:r>
            <w:r w:rsidR="00B91F5E">
              <w:rPr>
                <w:rFonts w:ascii="Arial" w:hAnsi="Arial" w:cs="Arial"/>
                <w:sz w:val="20"/>
                <w:szCs w:val="20"/>
                <w:lang w:val="en-IE"/>
              </w:rPr>
              <w:t>km from the River Barrow and River Nore SAC.</w:t>
            </w:r>
          </w:p>
          <w:p w:rsidR="00E52659" w:rsidRPr="00326D24" w:rsidRDefault="00E52659" w:rsidP="00E52659">
            <w:pPr>
              <w:jc w:val="both"/>
              <w:rPr>
                <w:rFonts w:ascii="Arial" w:hAnsi="Arial" w:cs="Arial"/>
                <w:i/>
                <w:color w:val="808080" w:themeColor="background1" w:themeShade="80"/>
                <w:sz w:val="20"/>
                <w:szCs w:val="20"/>
                <w:lang w:val="en-IE"/>
              </w:rPr>
            </w:pPr>
          </w:p>
        </w:tc>
      </w:tr>
      <w:tr w:rsidR="00540CD7" w:rsidRPr="00326D24" w:rsidTr="00953386">
        <w:trPr>
          <w:trHeight w:val="1186"/>
        </w:trPr>
        <w:tc>
          <w:tcPr>
            <w:tcW w:w="2898" w:type="dxa"/>
          </w:tcPr>
          <w:p w:rsidR="00326D24" w:rsidRDefault="00326D24" w:rsidP="006E6A2F">
            <w:pPr>
              <w:rPr>
                <w:rFonts w:ascii="Arial" w:hAnsi="Arial" w:cs="Arial"/>
                <w:sz w:val="20"/>
                <w:szCs w:val="20"/>
                <w:lang w:val="en-IE"/>
              </w:rPr>
            </w:pPr>
          </w:p>
          <w:p w:rsidR="00540CD7" w:rsidRPr="00481A8B" w:rsidRDefault="00540CD7" w:rsidP="006E6A2F">
            <w:pPr>
              <w:rPr>
                <w:rFonts w:ascii="Arial" w:hAnsi="Arial" w:cs="Arial"/>
                <w:b/>
                <w:sz w:val="20"/>
                <w:szCs w:val="20"/>
                <w:lang w:val="en-IE"/>
              </w:rPr>
            </w:pPr>
            <w:r w:rsidRPr="00481A8B">
              <w:rPr>
                <w:rFonts w:ascii="Arial" w:hAnsi="Arial" w:cs="Arial"/>
                <w:b/>
                <w:sz w:val="20"/>
                <w:szCs w:val="20"/>
                <w:lang w:val="en-IE"/>
              </w:rPr>
              <w:t>List of agencies consulted:  provide contact name and telephone or email address</w:t>
            </w:r>
          </w:p>
          <w:p w:rsidR="00540CD7" w:rsidRPr="00326D24" w:rsidRDefault="00540CD7" w:rsidP="006E6A2F">
            <w:pPr>
              <w:rPr>
                <w:rFonts w:ascii="Arial" w:hAnsi="Arial" w:cs="Arial"/>
                <w:sz w:val="20"/>
                <w:szCs w:val="20"/>
                <w:lang w:val="en-IE"/>
              </w:rPr>
            </w:pPr>
          </w:p>
        </w:tc>
        <w:tc>
          <w:tcPr>
            <w:tcW w:w="5720" w:type="dxa"/>
          </w:tcPr>
          <w:p w:rsidR="00326D24" w:rsidRDefault="00326D24" w:rsidP="006E6A2F">
            <w:pPr>
              <w:rPr>
                <w:rFonts w:ascii="Arial" w:hAnsi="Arial" w:cs="Arial"/>
                <w:i/>
                <w:color w:val="808080" w:themeColor="background1" w:themeShade="80"/>
                <w:sz w:val="20"/>
                <w:szCs w:val="20"/>
              </w:rPr>
            </w:pPr>
          </w:p>
          <w:p w:rsidR="00A10593" w:rsidRPr="00481A8B" w:rsidRDefault="00B91F5E" w:rsidP="006E6A2F">
            <w:pPr>
              <w:rPr>
                <w:rFonts w:ascii="Arial" w:hAnsi="Arial" w:cs="Arial"/>
                <w:sz w:val="20"/>
                <w:szCs w:val="20"/>
              </w:rPr>
            </w:pPr>
            <w:r w:rsidRPr="00481A8B">
              <w:rPr>
                <w:rFonts w:ascii="Arial" w:hAnsi="Arial" w:cs="Arial"/>
                <w:sz w:val="20"/>
                <w:szCs w:val="20"/>
              </w:rPr>
              <w:t>None</w:t>
            </w:r>
          </w:p>
          <w:p w:rsidR="00A10593" w:rsidRPr="00B91F5E" w:rsidRDefault="00A10593" w:rsidP="006E6A2F">
            <w:pPr>
              <w:rPr>
                <w:rFonts w:ascii="Arial" w:hAnsi="Arial" w:cs="Arial"/>
                <w:color w:val="808080" w:themeColor="background1" w:themeShade="80"/>
                <w:sz w:val="20"/>
                <w:szCs w:val="20"/>
              </w:rPr>
            </w:pPr>
          </w:p>
        </w:tc>
      </w:tr>
      <w:tr w:rsidR="00540CD7" w:rsidRPr="00326D24" w:rsidTr="00953386">
        <w:trPr>
          <w:trHeight w:val="734"/>
        </w:trPr>
        <w:tc>
          <w:tcPr>
            <w:tcW w:w="2898" w:type="dxa"/>
            <w:tcBorders>
              <w:bottom w:val="single" w:sz="4" w:space="0" w:color="auto"/>
            </w:tcBorders>
          </w:tcPr>
          <w:p w:rsidR="00326D24" w:rsidRDefault="00326D24" w:rsidP="006E6A2F">
            <w:pPr>
              <w:rPr>
                <w:rFonts w:ascii="Arial" w:hAnsi="Arial" w:cs="Arial"/>
                <w:sz w:val="20"/>
                <w:szCs w:val="20"/>
                <w:lang w:val="en-IE"/>
              </w:rPr>
            </w:pPr>
          </w:p>
          <w:p w:rsidR="00540CD7" w:rsidRPr="00481A8B" w:rsidRDefault="00540CD7" w:rsidP="006E6A2F">
            <w:pPr>
              <w:rPr>
                <w:rFonts w:ascii="Arial" w:hAnsi="Arial" w:cs="Arial"/>
                <w:b/>
                <w:sz w:val="20"/>
                <w:szCs w:val="20"/>
                <w:lang w:val="en-IE"/>
              </w:rPr>
            </w:pPr>
            <w:r w:rsidRPr="00481A8B">
              <w:rPr>
                <w:rFonts w:ascii="Arial" w:hAnsi="Arial" w:cs="Arial"/>
                <w:b/>
                <w:sz w:val="20"/>
                <w:szCs w:val="20"/>
                <w:lang w:val="en-IE"/>
              </w:rPr>
              <w:t>Response to consultation</w:t>
            </w:r>
          </w:p>
          <w:p w:rsidR="00540CD7" w:rsidRPr="00326D24" w:rsidRDefault="00540CD7" w:rsidP="006E6A2F">
            <w:pPr>
              <w:rPr>
                <w:rFonts w:ascii="Arial" w:hAnsi="Arial" w:cs="Arial"/>
                <w:sz w:val="20"/>
                <w:szCs w:val="20"/>
                <w:lang w:val="en-IE"/>
              </w:rPr>
            </w:pPr>
          </w:p>
        </w:tc>
        <w:tc>
          <w:tcPr>
            <w:tcW w:w="5720" w:type="dxa"/>
            <w:tcBorders>
              <w:bottom w:val="single" w:sz="4" w:space="0" w:color="auto"/>
            </w:tcBorders>
          </w:tcPr>
          <w:p w:rsidR="00326D24" w:rsidRDefault="00326D24" w:rsidP="00881679">
            <w:pPr>
              <w:rPr>
                <w:rFonts w:ascii="Arial" w:hAnsi="Arial" w:cs="Arial"/>
                <w:i/>
                <w:color w:val="808080" w:themeColor="background1" w:themeShade="80"/>
                <w:sz w:val="20"/>
                <w:szCs w:val="20"/>
              </w:rPr>
            </w:pPr>
          </w:p>
          <w:p w:rsidR="00B91F5E" w:rsidRPr="00481A8B" w:rsidRDefault="00B91F5E" w:rsidP="00B91F5E">
            <w:pPr>
              <w:rPr>
                <w:rFonts w:ascii="Arial" w:hAnsi="Arial" w:cs="Arial"/>
                <w:sz w:val="20"/>
                <w:szCs w:val="20"/>
              </w:rPr>
            </w:pPr>
            <w:r w:rsidRPr="00481A8B">
              <w:rPr>
                <w:rFonts w:ascii="Arial" w:hAnsi="Arial" w:cs="Arial"/>
                <w:sz w:val="20"/>
                <w:szCs w:val="20"/>
              </w:rPr>
              <w:t>Not applicable</w:t>
            </w:r>
          </w:p>
          <w:p w:rsidR="00326D24" w:rsidRPr="00326D24" w:rsidRDefault="00326D24" w:rsidP="00881679">
            <w:pPr>
              <w:rPr>
                <w:rFonts w:ascii="Arial" w:hAnsi="Arial" w:cs="Arial"/>
                <w:i/>
                <w:color w:val="808080" w:themeColor="background1" w:themeShade="80"/>
                <w:sz w:val="20"/>
                <w:szCs w:val="20"/>
              </w:rPr>
            </w:pPr>
          </w:p>
        </w:tc>
      </w:tr>
    </w:tbl>
    <w:p w:rsidR="00D7550A" w:rsidRDefault="00D7550A"/>
    <w:tbl>
      <w:tblPr>
        <w:tblpPr w:leftFromText="180" w:rightFromText="180" w:vertAnchor="text"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2"/>
      </w:tblGrid>
      <w:tr w:rsidR="00326D24" w:rsidRPr="006A16A3" w:rsidTr="00326D24">
        <w:tc>
          <w:tcPr>
            <w:tcW w:w="8528" w:type="dxa"/>
            <w:gridSpan w:val="4"/>
            <w:tcBorders>
              <w:bottom w:val="single" w:sz="4" w:space="0" w:color="auto"/>
            </w:tcBorders>
            <w:shd w:val="clear" w:color="auto" w:fill="FFFFFF" w:themeFill="background1"/>
          </w:tcPr>
          <w:p w:rsidR="00326D24" w:rsidRDefault="00326D24" w:rsidP="00326D24">
            <w:pPr>
              <w:rPr>
                <w:rFonts w:ascii="Trebuchet MS" w:hAnsi="Trebuchet MS"/>
                <w:b/>
                <w:sz w:val="20"/>
                <w:szCs w:val="20"/>
                <w:lang w:val="en-IE"/>
              </w:rPr>
            </w:pPr>
          </w:p>
          <w:p w:rsidR="00326D24" w:rsidRPr="006A16A3" w:rsidRDefault="00326D24" w:rsidP="00326D24">
            <w:pPr>
              <w:rPr>
                <w:rFonts w:ascii="Trebuchet MS" w:hAnsi="Trebuchet MS"/>
                <w:b/>
                <w:sz w:val="20"/>
                <w:szCs w:val="20"/>
                <w:lang w:val="en-IE"/>
              </w:rPr>
            </w:pPr>
            <w:r>
              <w:rPr>
                <w:rFonts w:ascii="Trebuchet MS" w:hAnsi="Trebuchet MS"/>
                <w:b/>
                <w:sz w:val="20"/>
                <w:szCs w:val="20"/>
                <w:lang w:val="en-IE"/>
              </w:rPr>
              <w:t xml:space="preserve">3.0   </w:t>
            </w:r>
            <w:r w:rsidRPr="006A16A3">
              <w:rPr>
                <w:rFonts w:ascii="Trebuchet MS" w:hAnsi="Trebuchet MS"/>
                <w:b/>
                <w:sz w:val="20"/>
                <w:szCs w:val="20"/>
                <w:lang w:val="en-IE"/>
              </w:rPr>
              <w:t>Data collected to carry out the assessment</w:t>
            </w:r>
          </w:p>
          <w:p w:rsidR="00326D24" w:rsidRPr="006A16A3" w:rsidRDefault="00326D24" w:rsidP="00326D24">
            <w:pPr>
              <w:rPr>
                <w:rFonts w:ascii="Trebuchet MS" w:hAnsi="Trebuchet MS"/>
                <w:b/>
                <w:sz w:val="20"/>
                <w:szCs w:val="20"/>
                <w:u w:val="single"/>
              </w:rPr>
            </w:pPr>
          </w:p>
        </w:tc>
      </w:tr>
      <w:tr w:rsidR="00326D24" w:rsidRPr="006A16A3" w:rsidTr="00326D24">
        <w:trPr>
          <w:trHeight w:val="233"/>
        </w:trPr>
        <w:tc>
          <w:tcPr>
            <w:tcW w:w="2132" w:type="dxa"/>
            <w:shd w:val="clear" w:color="auto" w:fill="auto"/>
          </w:tcPr>
          <w:p w:rsidR="00326D24" w:rsidRDefault="00326D24" w:rsidP="00326D24">
            <w:pPr>
              <w:rPr>
                <w:rFonts w:ascii="Trebuchet MS" w:hAnsi="Trebuchet MS"/>
                <w:b/>
                <w:sz w:val="20"/>
                <w:szCs w:val="20"/>
                <w:lang w:val="en-IE"/>
              </w:rPr>
            </w:pPr>
          </w:p>
          <w:p w:rsidR="00326D24" w:rsidRPr="006A16A3" w:rsidRDefault="00326D24" w:rsidP="00326D24">
            <w:pPr>
              <w:rPr>
                <w:rFonts w:ascii="Trebuchet MS" w:hAnsi="Trebuchet MS"/>
                <w:b/>
                <w:sz w:val="20"/>
                <w:szCs w:val="20"/>
                <w:lang w:val="en-IE"/>
              </w:rPr>
            </w:pPr>
            <w:r w:rsidRPr="006A16A3">
              <w:rPr>
                <w:rFonts w:ascii="Trebuchet MS" w:hAnsi="Trebuchet MS"/>
                <w:b/>
                <w:sz w:val="20"/>
                <w:szCs w:val="20"/>
                <w:lang w:val="en-IE"/>
              </w:rPr>
              <w:t>Who carried out the assessment</w:t>
            </w:r>
            <w:r>
              <w:rPr>
                <w:rFonts w:ascii="Trebuchet MS" w:hAnsi="Trebuchet MS"/>
                <w:b/>
                <w:sz w:val="20"/>
                <w:szCs w:val="20"/>
                <w:lang w:val="en-IE"/>
              </w:rPr>
              <w:t>?</w:t>
            </w:r>
          </w:p>
          <w:p w:rsidR="00326D24" w:rsidRPr="006A16A3" w:rsidRDefault="00326D24" w:rsidP="00326D24">
            <w:pPr>
              <w:rPr>
                <w:rFonts w:ascii="Trebuchet MS" w:hAnsi="Trebuchet MS"/>
                <w:b/>
                <w:sz w:val="20"/>
                <w:szCs w:val="20"/>
                <w:lang w:val="en-IE"/>
              </w:rPr>
            </w:pPr>
          </w:p>
        </w:tc>
        <w:tc>
          <w:tcPr>
            <w:tcW w:w="2132" w:type="dxa"/>
            <w:shd w:val="clear" w:color="auto" w:fill="auto"/>
          </w:tcPr>
          <w:p w:rsidR="00326D24" w:rsidRDefault="00326D24" w:rsidP="00326D24">
            <w:pPr>
              <w:rPr>
                <w:rFonts w:ascii="Trebuchet MS" w:hAnsi="Trebuchet MS"/>
                <w:b/>
                <w:sz w:val="20"/>
                <w:szCs w:val="20"/>
                <w:lang w:val="en-IE"/>
              </w:rPr>
            </w:pPr>
          </w:p>
          <w:p w:rsidR="00326D24" w:rsidRPr="006A16A3" w:rsidRDefault="00326D24" w:rsidP="00326D24">
            <w:pPr>
              <w:rPr>
                <w:rFonts w:ascii="Trebuchet MS" w:hAnsi="Trebuchet MS"/>
                <w:b/>
                <w:sz w:val="20"/>
                <w:szCs w:val="20"/>
                <w:lang w:val="en-IE"/>
              </w:rPr>
            </w:pPr>
            <w:r w:rsidRPr="006A16A3">
              <w:rPr>
                <w:rFonts w:ascii="Trebuchet MS" w:hAnsi="Trebuchet MS"/>
                <w:b/>
                <w:sz w:val="20"/>
                <w:szCs w:val="20"/>
                <w:lang w:val="en-IE"/>
              </w:rPr>
              <w:t>Sources of data</w:t>
            </w:r>
          </w:p>
        </w:tc>
        <w:tc>
          <w:tcPr>
            <w:tcW w:w="2132" w:type="dxa"/>
            <w:shd w:val="clear" w:color="auto" w:fill="auto"/>
          </w:tcPr>
          <w:p w:rsidR="00326D24" w:rsidRDefault="00326D24" w:rsidP="00326D24">
            <w:pPr>
              <w:rPr>
                <w:rFonts w:ascii="Trebuchet MS" w:hAnsi="Trebuchet MS"/>
                <w:b/>
                <w:sz w:val="20"/>
                <w:szCs w:val="20"/>
                <w:lang w:val="en-IE"/>
              </w:rPr>
            </w:pPr>
          </w:p>
          <w:p w:rsidR="00326D24" w:rsidRPr="006A16A3" w:rsidRDefault="00326D24" w:rsidP="00326D24">
            <w:pPr>
              <w:rPr>
                <w:rFonts w:ascii="Trebuchet MS" w:hAnsi="Trebuchet MS"/>
                <w:b/>
                <w:sz w:val="20"/>
                <w:szCs w:val="20"/>
                <w:lang w:val="en-IE"/>
              </w:rPr>
            </w:pPr>
            <w:r w:rsidRPr="006A16A3">
              <w:rPr>
                <w:rFonts w:ascii="Trebuchet MS" w:hAnsi="Trebuchet MS"/>
                <w:b/>
                <w:sz w:val="20"/>
                <w:szCs w:val="20"/>
                <w:lang w:val="en-IE"/>
              </w:rPr>
              <w:t>Level of assessment completed</w:t>
            </w:r>
          </w:p>
        </w:tc>
        <w:tc>
          <w:tcPr>
            <w:tcW w:w="2132" w:type="dxa"/>
            <w:shd w:val="clear" w:color="auto" w:fill="auto"/>
          </w:tcPr>
          <w:p w:rsidR="00326D24" w:rsidRDefault="00326D24" w:rsidP="00326D24">
            <w:pPr>
              <w:rPr>
                <w:rFonts w:ascii="Trebuchet MS" w:hAnsi="Trebuchet MS"/>
                <w:b/>
                <w:sz w:val="20"/>
                <w:szCs w:val="20"/>
                <w:lang w:val="en-IE"/>
              </w:rPr>
            </w:pPr>
          </w:p>
          <w:p w:rsidR="00326D24" w:rsidRPr="006A16A3" w:rsidRDefault="00326D24" w:rsidP="00326D24">
            <w:pPr>
              <w:rPr>
                <w:rFonts w:ascii="Trebuchet MS" w:hAnsi="Trebuchet MS"/>
                <w:b/>
                <w:sz w:val="20"/>
                <w:szCs w:val="20"/>
                <w:lang w:val="en-IE"/>
              </w:rPr>
            </w:pPr>
            <w:r w:rsidRPr="006A16A3">
              <w:rPr>
                <w:rFonts w:ascii="Trebuchet MS" w:hAnsi="Trebuchet MS"/>
                <w:b/>
                <w:sz w:val="20"/>
                <w:szCs w:val="20"/>
                <w:lang w:val="en-IE"/>
              </w:rPr>
              <w:t>Where can the full results of the assessment be accessed and viewed</w:t>
            </w:r>
          </w:p>
        </w:tc>
      </w:tr>
      <w:tr w:rsidR="00326D24" w:rsidRPr="006A16A3" w:rsidTr="00326D24">
        <w:trPr>
          <w:trHeight w:val="232"/>
        </w:trPr>
        <w:tc>
          <w:tcPr>
            <w:tcW w:w="2132" w:type="dxa"/>
            <w:shd w:val="clear" w:color="auto" w:fill="auto"/>
          </w:tcPr>
          <w:p w:rsidR="00326D24" w:rsidRPr="00D76139" w:rsidRDefault="00326D24" w:rsidP="00326D24">
            <w:pPr>
              <w:rPr>
                <w:rFonts w:ascii="Trebuchet MS" w:hAnsi="Trebuchet MS"/>
                <w:color w:val="808080" w:themeColor="background1" w:themeShade="80"/>
                <w:sz w:val="20"/>
                <w:szCs w:val="20"/>
                <w:lang w:val="en-IE"/>
              </w:rPr>
            </w:pPr>
          </w:p>
          <w:p w:rsidR="00326D24" w:rsidRPr="00481A8B" w:rsidRDefault="00943CB0" w:rsidP="00326D24">
            <w:pPr>
              <w:rPr>
                <w:rFonts w:ascii="Arial" w:hAnsi="Arial" w:cs="Arial"/>
                <w:sz w:val="20"/>
                <w:szCs w:val="20"/>
                <w:lang w:val="en-IE"/>
              </w:rPr>
            </w:pPr>
            <w:r w:rsidRPr="00481A8B">
              <w:rPr>
                <w:rFonts w:ascii="Arial" w:hAnsi="Arial" w:cs="Arial"/>
                <w:sz w:val="20"/>
                <w:szCs w:val="20"/>
                <w:lang w:val="en-IE"/>
              </w:rPr>
              <w:t>Brigette Rea,</w:t>
            </w:r>
          </w:p>
          <w:p w:rsidR="00326D24" w:rsidRPr="00D76139" w:rsidRDefault="005D419E" w:rsidP="003D6375">
            <w:pPr>
              <w:rPr>
                <w:rFonts w:ascii="Trebuchet MS" w:hAnsi="Trebuchet MS"/>
                <w:i/>
                <w:color w:val="808080" w:themeColor="background1" w:themeShade="80"/>
                <w:sz w:val="20"/>
                <w:szCs w:val="20"/>
                <w:lang w:val="en-IE"/>
              </w:rPr>
            </w:pPr>
            <w:r w:rsidRPr="00481A8B">
              <w:rPr>
                <w:rFonts w:ascii="Arial" w:hAnsi="Arial" w:cs="Arial"/>
                <w:sz w:val="20"/>
                <w:szCs w:val="20"/>
                <w:lang w:val="en-IE"/>
              </w:rPr>
              <w:t xml:space="preserve">Senior Executive Engineer, </w:t>
            </w:r>
            <w:r w:rsidR="00481A8B">
              <w:rPr>
                <w:rFonts w:ascii="Arial" w:hAnsi="Arial" w:cs="Arial"/>
                <w:sz w:val="20"/>
                <w:szCs w:val="20"/>
                <w:lang w:val="en-IE"/>
              </w:rPr>
              <w:t xml:space="preserve">Chartered Engineer, </w:t>
            </w:r>
            <w:r w:rsidRPr="00481A8B">
              <w:rPr>
                <w:rFonts w:ascii="Arial" w:hAnsi="Arial" w:cs="Arial"/>
                <w:sz w:val="20"/>
                <w:szCs w:val="20"/>
                <w:lang w:val="en-IE"/>
              </w:rPr>
              <w:t>Roads</w:t>
            </w:r>
            <w:r w:rsidR="003D6375" w:rsidRPr="00481A8B">
              <w:rPr>
                <w:rFonts w:ascii="Arial" w:hAnsi="Arial" w:cs="Arial"/>
                <w:sz w:val="20"/>
                <w:szCs w:val="20"/>
                <w:lang w:val="en-IE"/>
              </w:rPr>
              <w:t>, Transportation &amp; Public Safety</w:t>
            </w:r>
            <w:r w:rsidRPr="00481A8B">
              <w:rPr>
                <w:rFonts w:ascii="Arial" w:hAnsi="Arial" w:cs="Arial"/>
                <w:sz w:val="20"/>
                <w:szCs w:val="20"/>
                <w:lang w:val="en-IE"/>
              </w:rPr>
              <w:t xml:space="preserve"> Department</w:t>
            </w:r>
            <w:r w:rsidR="003D6375" w:rsidRPr="00481A8B">
              <w:rPr>
                <w:rFonts w:ascii="Arial" w:hAnsi="Arial" w:cs="Arial"/>
                <w:sz w:val="20"/>
                <w:szCs w:val="20"/>
                <w:lang w:val="en-IE"/>
              </w:rPr>
              <w:t>, Kildare County Council.</w:t>
            </w:r>
          </w:p>
        </w:tc>
        <w:tc>
          <w:tcPr>
            <w:tcW w:w="2132" w:type="dxa"/>
            <w:shd w:val="clear" w:color="auto" w:fill="auto"/>
          </w:tcPr>
          <w:p w:rsidR="00326D24" w:rsidRPr="00D76139" w:rsidRDefault="00326D24" w:rsidP="00326D24">
            <w:pPr>
              <w:rPr>
                <w:rFonts w:ascii="Trebuchet MS" w:hAnsi="Trebuchet MS"/>
                <w:color w:val="808080" w:themeColor="background1" w:themeShade="80"/>
                <w:sz w:val="20"/>
                <w:szCs w:val="20"/>
                <w:lang w:val="en-IE"/>
              </w:rPr>
            </w:pPr>
          </w:p>
          <w:p w:rsidR="006168B1" w:rsidRPr="00481A8B" w:rsidRDefault="005D419E" w:rsidP="005D419E">
            <w:pPr>
              <w:rPr>
                <w:rFonts w:ascii="Arial" w:hAnsi="Arial" w:cs="Arial"/>
                <w:sz w:val="20"/>
                <w:szCs w:val="20"/>
                <w:lang w:val="en-IE"/>
              </w:rPr>
            </w:pPr>
            <w:r w:rsidRPr="00481A8B">
              <w:rPr>
                <w:rFonts w:ascii="Arial" w:hAnsi="Arial" w:cs="Arial"/>
                <w:sz w:val="20"/>
                <w:szCs w:val="20"/>
                <w:lang w:val="en-IE"/>
              </w:rPr>
              <w:t>Desktop research</w:t>
            </w:r>
            <w:r w:rsidR="003D6375" w:rsidRPr="00481A8B">
              <w:rPr>
                <w:rFonts w:ascii="Arial" w:hAnsi="Arial" w:cs="Arial"/>
                <w:sz w:val="20"/>
                <w:szCs w:val="20"/>
                <w:lang w:val="en-IE"/>
              </w:rPr>
              <w:t xml:space="preserve"> of</w:t>
            </w:r>
            <w:r w:rsidRPr="00481A8B">
              <w:rPr>
                <w:rFonts w:ascii="Arial" w:hAnsi="Arial" w:cs="Arial"/>
                <w:sz w:val="20"/>
                <w:szCs w:val="20"/>
                <w:lang w:val="en-IE"/>
              </w:rPr>
              <w:t xml:space="preserve">, </w:t>
            </w:r>
          </w:p>
          <w:p w:rsidR="006168B1" w:rsidRPr="00481A8B" w:rsidRDefault="006168B1" w:rsidP="005D419E">
            <w:pPr>
              <w:rPr>
                <w:rFonts w:ascii="Arial" w:hAnsi="Arial" w:cs="Arial"/>
                <w:sz w:val="20"/>
                <w:szCs w:val="20"/>
                <w:lang w:val="en-IE"/>
              </w:rPr>
            </w:pPr>
          </w:p>
          <w:p w:rsidR="00326D24" w:rsidRPr="00481A8B" w:rsidRDefault="005D419E" w:rsidP="005D419E">
            <w:pPr>
              <w:rPr>
                <w:rFonts w:ascii="Arial" w:hAnsi="Arial" w:cs="Arial"/>
                <w:sz w:val="20"/>
                <w:szCs w:val="20"/>
                <w:lang w:val="en-IE"/>
              </w:rPr>
            </w:pPr>
            <w:r w:rsidRPr="00481A8B">
              <w:rPr>
                <w:rFonts w:ascii="Arial" w:hAnsi="Arial" w:cs="Arial"/>
                <w:sz w:val="20"/>
                <w:szCs w:val="20"/>
                <w:lang w:val="en-IE"/>
              </w:rPr>
              <w:t>Kildare County Development Plan 2017-2023 - Volume 1, Chapter 13,</w:t>
            </w:r>
          </w:p>
          <w:p w:rsidR="006168B1" w:rsidRPr="00481A8B" w:rsidRDefault="006168B1" w:rsidP="005D419E">
            <w:pPr>
              <w:rPr>
                <w:rFonts w:ascii="Arial" w:hAnsi="Arial" w:cs="Arial"/>
                <w:sz w:val="20"/>
                <w:szCs w:val="20"/>
                <w:lang w:val="en-IE"/>
              </w:rPr>
            </w:pPr>
          </w:p>
          <w:p w:rsidR="006168B1" w:rsidRPr="005D419E" w:rsidRDefault="005D419E" w:rsidP="00DE0D4E">
            <w:pPr>
              <w:rPr>
                <w:rFonts w:ascii="Arial" w:hAnsi="Arial" w:cs="Arial"/>
                <w:b/>
                <w:sz w:val="20"/>
                <w:szCs w:val="20"/>
                <w:lang w:val="en-IE"/>
              </w:rPr>
            </w:pPr>
            <w:r w:rsidRPr="00481A8B">
              <w:rPr>
                <w:rFonts w:ascii="Arial" w:hAnsi="Arial" w:cs="Arial"/>
                <w:sz w:val="20"/>
                <w:szCs w:val="20"/>
                <w:lang w:val="en-IE"/>
              </w:rPr>
              <w:t>NPWS Natura 2000 Conservation Objectives, Standard Data Form, Site synopsis</w:t>
            </w:r>
            <w:r w:rsidR="006168B1" w:rsidRPr="00481A8B">
              <w:rPr>
                <w:rFonts w:ascii="Arial" w:hAnsi="Arial" w:cs="Arial"/>
                <w:sz w:val="20"/>
                <w:szCs w:val="20"/>
                <w:lang w:val="en-IE"/>
              </w:rPr>
              <w:t xml:space="preserve"> – downloaded from NPWS website</w:t>
            </w:r>
            <w:r w:rsidR="008347D4">
              <w:rPr>
                <w:rFonts w:ascii="Arial" w:hAnsi="Arial" w:cs="Arial"/>
                <w:sz w:val="20"/>
                <w:szCs w:val="20"/>
                <w:lang w:val="en-IE"/>
              </w:rPr>
              <w:t xml:space="preserve"> – </w:t>
            </w:r>
            <w:r w:rsidR="00DE0D4E">
              <w:rPr>
                <w:rFonts w:ascii="Arial" w:hAnsi="Arial" w:cs="Arial"/>
                <w:sz w:val="20"/>
                <w:szCs w:val="20"/>
                <w:lang w:val="en-IE"/>
              </w:rPr>
              <w:t>Appendix B.</w:t>
            </w:r>
          </w:p>
        </w:tc>
        <w:tc>
          <w:tcPr>
            <w:tcW w:w="2132" w:type="dxa"/>
            <w:shd w:val="clear" w:color="auto" w:fill="auto"/>
          </w:tcPr>
          <w:p w:rsidR="00326D24" w:rsidRDefault="00326D24" w:rsidP="00326D24">
            <w:pPr>
              <w:rPr>
                <w:rFonts w:ascii="Trebuchet MS" w:hAnsi="Trebuchet MS"/>
                <w:i/>
                <w:color w:val="808080" w:themeColor="background1" w:themeShade="80"/>
                <w:sz w:val="20"/>
                <w:szCs w:val="20"/>
                <w:lang w:val="en-IE"/>
              </w:rPr>
            </w:pPr>
          </w:p>
          <w:p w:rsidR="006168B1" w:rsidRPr="00481A8B" w:rsidRDefault="006168B1" w:rsidP="00326D24">
            <w:pPr>
              <w:rPr>
                <w:rFonts w:ascii="Arial" w:hAnsi="Arial" w:cs="Arial"/>
                <w:sz w:val="20"/>
                <w:szCs w:val="20"/>
                <w:lang w:val="en-IE"/>
              </w:rPr>
            </w:pPr>
            <w:r w:rsidRPr="00481A8B">
              <w:rPr>
                <w:rFonts w:ascii="Arial" w:hAnsi="Arial" w:cs="Arial"/>
                <w:sz w:val="20"/>
                <w:szCs w:val="20"/>
                <w:lang w:val="en-IE"/>
              </w:rPr>
              <w:t>Screening</w:t>
            </w:r>
          </w:p>
        </w:tc>
        <w:tc>
          <w:tcPr>
            <w:tcW w:w="2132" w:type="dxa"/>
            <w:shd w:val="clear" w:color="auto" w:fill="auto"/>
          </w:tcPr>
          <w:p w:rsidR="00326D24" w:rsidRPr="00D76139" w:rsidRDefault="00326D24" w:rsidP="00326D24">
            <w:pPr>
              <w:rPr>
                <w:rFonts w:ascii="Trebuchet MS" w:hAnsi="Trebuchet MS"/>
                <w:i/>
                <w:color w:val="808080" w:themeColor="background1" w:themeShade="80"/>
                <w:sz w:val="20"/>
                <w:szCs w:val="20"/>
                <w:lang w:val="en-IE"/>
              </w:rPr>
            </w:pPr>
          </w:p>
          <w:p w:rsidR="00326D24" w:rsidRPr="00481A8B" w:rsidRDefault="003D6375" w:rsidP="003D6375">
            <w:pPr>
              <w:rPr>
                <w:rFonts w:ascii="Trebuchet MS" w:hAnsi="Trebuchet MS"/>
                <w:i/>
                <w:color w:val="808080" w:themeColor="background1" w:themeShade="80"/>
                <w:sz w:val="20"/>
                <w:szCs w:val="20"/>
                <w:lang w:val="en-IE"/>
              </w:rPr>
            </w:pPr>
            <w:r w:rsidRPr="00481A8B">
              <w:rPr>
                <w:rFonts w:ascii="Arial" w:hAnsi="Arial" w:cs="Arial"/>
                <w:sz w:val="20"/>
                <w:szCs w:val="20"/>
                <w:lang w:val="en-IE"/>
              </w:rPr>
              <w:t>Roads, Transportation &amp; Public Safety Department, Kildare County Council.</w:t>
            </w:r>
          </w:p>
        </w:tc>
      </w:tr>
    </w:tbl>
    <w:p w:rsidR="00326D24" w:rsidRDefault="00326D24" w:rsidP="00A9345F">
      <w:pPr>
        <w:rPr>
          <w:rFonts w:ascii="Arial" w:hAnsi="Arial" w:cs="Arial"/>
        </w:rPr>
      </w:pPr>
    </w:p>
    <w:p w:rsidR="00326D24" w:rsidRDefault="00326D24" w:rsidP="00A9345F">
      <w:pPr>
        <w:rPr>
          <w:rFonts w:ascii="Arial" w:hAnsi="Arial" w:cs="Arial"/>
        </w:rPr>
      </w:pPr>
    </w:p>
    <w:p w:rsidR="001E4951" w:rsidRDefault="001E4951">
      <w:pPr>
        <w:rPr>
          <w:rFonts w:ascii="Trebuchet MS" w:hAnsi="Trebuchet MS"/>
          <w:b/>
          <w:sz w:val="22"/>
          <w:szCs w:val="22"/>
        </w:rPr>
      </w:pPr>
    </w:p>
    <w:tbl>
      <w:tblPr>
        <w:tblStyle w:val="TableGrid"/>
        <w:tblpPr w:leftFromText="180" w:rightFromText="180" w:vertAnchor="text" w:horzAnchor="margin" w:tblpYSpec="inside"/>
        <w:tblW w:w="0" w:type="auto"/>
        <w:tblLook w:val="04A0"/>
      </w:tblPr>
      <w:tblGrid>
        <w:gridCol w:w="8528"/>
      </w:tblGrid>
      <w:tr w:rsidR="001E4951" w:rsidTr="001E4951">
        <w:tc>
          <w:tcPr>
            <w:tcW w:w="8528" w:type="dxa"/>
          </w:tcPr>
          <w:p w:rsidR="001E4951" w:rsidRDefault="001E4951" w:rsidP="001E4951">
            <w:pPr>
              <w:rPr>
                <w:rFonts w:ascii="Trebuchet MS" w:hAnsi="Trebuchet MS"/>
                <w:b/>
                <w:sz w:val="20"/>
                <w:szCs w:val="20"/>
              </w:rPr>
            </w:pPr>
          </w:p>
          <w:p w:rsidR="001E4951" w:rsidRDefault="001E4951" w:rsidP="001E4951">
            <w:pPr>
              <w:rPr>
                <w:rFonts w:ascii="Trebuchet MS" w:hAnsi="Trebuchet MS"/>
                <w:b/>
                <w:sz w:val="20"/>
                <w:szCs w:val="20"/>
              </w:rPr>
            </w:pPr>
            <w:r w:rsidRPr="00D76139">
              <w:rPr>
                <w:rFonts w:ascii="Trebuchet MS" w:hAnsi="Trebuchet MS"/>
                <w:b/>
                <w:sz w:val="20"/>
                <w:szCs w:val="20"/>
              </w:rPr>
              <w:t>Overall Conclusion</w:t>
            </w:r>
            <w:r>
              <w:rPr>
                <w:rFonts w:ascii="Trebuchet MS" w:hAnsi="Trebuchet MS"/>
                <w:b/>
                <w:sz w:val="20"/>
                <w:szCs w:val="20"/>
              </w:rPr>
              <w:t>s</w:t>
            </w:r>
          </w:p>
          <w:p w:rsidR="001E4951" w:rsidRDefault="001E4951" w:rsidP="001E4951">
            <w:pPr>
              <w:rPr>
                <w:rFonts w:ascii="Trebuchet MS" w:hAnsi="Trebuchet MS"/>
                <w:b/>
                <w:sz w:val="20"/>
                <w:szCs w:val="20"/>
              </w:rPr>
            </w:pPr>
          </w:p>
          <w:p w:rsidR="001E4951" w:rsidRDefault="001E4951" w:rsidP="001E4951">
            <w:pPr>
              <w:rPr>
                <w:rFonts w:ascii="Trebuchet MS" w:hAnsi="Trebuchet MS"/>
                <w:b/>
                <w:sz w:val="20"/>
                <w:szCs w:val="20"/>
              </w:rPr>
            </w:pPr>
          </w:p>
        </w:tc>
      </w:tr>
      <w:tr w:rsidR="001E4951" w:rsidTr="001E4951">
        <w:tc>
          <w:tcPr>
            <w:tcW w:w="8528" w:type="dxa"/>
          </w:tcPr>
          <w:p w:rsidR="001E4951" w:rsidRDefault="001E4951" w:rsidP="001E4951">
            <w:pPr>
              <w:rPr>
                <w:rFonts w:ascii="Trebuchet MS" w:hAnsi="Trebuchet MS"/>
                <w:i/>
                <w:color w:val="808080" w:themeColor="background1" w:themeShade="80"/>
                <w:sz w:val="20"/>
                <w:szCs w:val="20"/>
              </w:rPr>
            </w:pPr>
          </w:p>
          <w:p w:rsidR="001E4951" w:rsidRPr="006168B1" w:rsidRDefault="006168B1" w:rsidP="001E4951">
            <w:pPr>
              <w:rPr>
                <w:rFonts w:ascii="Arial" w:hAnsi="Arial" w:cs="Arial"/>
                <w:b/>
                <w:sz w:val="20"/>
                <w:szCs w:val="20"/>
                <w:lang w:val="en-IE"/>
              </w:rPr>
            </w:pPr>
            <w:r w:rsidRPr="006168B1">
              <w:rPr>
                <w:rFonts w:ascii="Arial" w:hAnsi="Arial" w:cs="Arial"/>
                <w:b/>
                <w:sz w:val="20"/>
                <w:szCs w:val="20"/>
                <w:lang w:val="en-IE"/>
              </w:rPr>
              <w:t xml:space="preserve">There are no likely impacts arising from the proposed development on Natura 2000 sites due to the fact that all works are to be undertaken within the footprint of the existing railway bridge and public road on </w:t>
            </w:r>
            <w:r w:rsidR="00481A8B">
              <w:rPr>
                <w:rFonts w:ascii="Arial" w:hAnsi="Arial" w:cs="Arial"/>
                <w:b/>
                <w:sz w:val="20"/>
                <w:szCs w:val="20"/>
                <w:lang w:val="en-IE"/>
              </w:rPr>
              <w:t>both ends</w:t>
            </w:r>
            <w:r w:rsidRPr="006168B1">
              <w:rPr>
                <w:rFonts w:ascii="Arial" w:hAnsi="Arial" w:cs="Arial"/>
                <w:b/>
                <w:sz w:val="20"/>
                <w:szCs w:val="20"/>
                <w:lang w:val="en-IE"/>
              </w:rPr>
              <w:t xml:space="preserve"> of the railway bridge and that the works to be carried out a distance of </w:t>
            </w:r>
            <w:r w:rsidR="00584340">
              <w:rPr>
                <w:rFonts w:ascii="Arial" w:hAnsi="Arial" w:cs="Arial"/>
                <w:b/>
                <w:sz w:val="20"/>
                <w:szCs w:val="20"/>
                <w:lang w:val="en-IE"/>
              </w:rPr>
              <w:t>approx. 6.3</w:t>
            </w:r>
            <w:r w:rsidRPr="006168B1">
              <w:rPr>
                <w:rFonts w:ascii="Arial" w:hAnsi="Arial" w:cs="Arial"/>
                <w:b/>
                <w:sz w:val="20"/>
                <w:szCs w:val="20"/>
                <w:lang w:val="en-IE"/>
              </w:rPr>
              <w:t>km from the River Barrow and River Nore SAC.</w:t>
            </w:r>
          </w:p>
          <w:p w:rsidR="006168B1" w:rsidRPr="008347D4" w:rsidRDefault="006168B1" w:rsidP="001E4951">
            <w:pPr>
              <w:rPr>
                <w:rFonts w:ascii="Arial" w:hAnsi="Arial" w:cs="Arial"/>
                <w:b/>
                <w:sz w:val="20"/>
                <w:szCs w:val="20"/>
              </w:rPr>
            </w:pPr>
          </w:p>
          <w:p w:rsidR="001E4951" w:rsidRPr="008347D4" w:rsidRDefault="001E4951" w:rsidP="001E4951">
            <w:pPr>
              <w:rPr>
                <w:rFonts w:ascii="Arial" w:hAnsi="Arial" w:cs="Arial"/>
                <w:b/>
                <w:sz w:val="20"/>
                <w:szCs w:val="20"/>
              </w:rPr>
            </w:pPr>
            <w:r w:rsidRPr="008347D4">
              <w:rPr>
                <w:rFonts w:ascii="Arial" w:hAnsi="Arial" w:cs="Arial"/>
                <w:b/>
                <w:iCs/>
                <w:sz w:val="20"/>
                <w:szCs w:val="20"/>
              </w:rPr>
              <w:t>It can be objectively concluded that there a</w:t>
            </w:r>
            <w:r w:rsidR="006168B1" w:rsidRPr="008347D4">
              <w:rPr>
                <w:rFonts w:ascii="Arial" w:hAnsi="Arial" w:cs="Arial"/>
                <w:b/>
                <w:iCs/>
                <w:sz w:val="20"/>
                <w:szCs w:val="20"/>
              </w:rPr>
              <w:t xml:space="preserve">re not likely to be significant </w:t>
            </w:r>
            <w:r w:rsidRPr="008347D4">
              <w:rPr>
                <w:rFonts w:ascii="Arial" w:hAnsi="Arial" w:cs="Arial"/>
                <w:b/>
                <w:iCs/>
                <w:sz w:val="20"/>
                <w:szCs w:val="20"/>
              </w:rPr>
              <w:t>effects on the Natura 2000 site(s) arising from the proposed development.</w:t>
            </w:r>
          </w:p>
          <w:p w:rsidR="001E4951" w:rsidRDefault="001E4951" w:rsidP="001E4951">
            <w:pPr>
              <w:rPr>
                <w:rFonts w:ascii="Trebuchet MS" w:hAnsi="Trebuchet MS"/>
                <w:b/>
                <w:sz w:val="20"/>
                <w:szCs w:val="20"/>
              </w:rPr>
            </w:pPr>
          </w:p>
        </w:tc>
      </w:tr>
    </w:tbl>
    <w:p w:rsidR="001E4951" w:rsidRDefault="001E4951">
      <w:pPr>
        <w:rPr>
          <w:rFonts w:ascii="Trebuchet MS" w:hAnsi="Trebuchet MS"/>
          <w:b/>
          <w:sz w:val="22"/>
          <w:szCs w:val="22"/>
        </w:rPr>
      </w:pPr>
    </w:p>
    <w:p w:rsidR="001E4951" w:rsidRDefault="001E4951">
      <w:pPr>
        <w:rPr>
          <w:rFonts w:ascii="Trebuchet MS" w:hAnsi="Trebuchet MS"/>
          <w:b/>
          <w:sz w:val="22"/>
          <w:szCs w:val="22"/>
        </w:rPr>
      </w:pPr>
    </w:p>
    <w:p w:rsidR="001E4951" w:rsidRPr="000159EB" w:rsidRDefault="001E4951" w:rsidP="001E4951">
      <w:pPr>
        <w:jc w:val="both"/>
        <w:rPr>
          <w:rFonts w:ascii="Trebuchet MS" w:hAnsi="Trebuchet MS"/>
          <w:sz w:val="22"/>
          <w:szCs w:val="22"/>
        </w:rPr>
      </w:pPr>
    </w:p>
    <w:p w:rsidR="00DE0D4E" w:rsidRDefault="00DE0D4E">
      <w:pPr>
        <w:rPr>
          <w:rFonts w:ascii="Trebuchet MS" w:hAnsi="Trebuchet MS"/>
          <w:b/>
          <w:sz w:val="22"/>
          <w:szCs w:val="22"/>
        </w:rPr>
      </w:pPr>
      <w:r>
        <w:rPr>
          <w:rFonts w:ascii="Trebuchet MS" w:hAnsi="Trebuchet MS"/>
          <w:b/>
          <w:sz w:val="22"/>
          <w:szCs w:val="22"/>
        </w:rPr>
        <w:br w:type="page"/>
      </w:r>
    </w:p>
    <w:p w:rsidR="001E4951" w:rsidRDefault="001E4951">
      <w:pPr>
        <w:rPr>
          <w:rFonts w:ascii="Trebuchet MS" w:hAnsi="Trebuchet MS"/>
          <w:b/>
          <w:sz w:val="22"/>
          <w:szCs w:val="22"/>
        </w:rPr>
      </w:pPr>
    </w:p>
    <w:p w:rsidR="00DE0D4E" w:rsidRDefault="00DE0D4E">
      <w:pPr>
        <w:rPr>
          <w:rFonts w:ascii="Trebuchet MS" w:hAnsi="Trebuchet MS"/>
          <w:b/>
          <w:sz w:val="22"/>
          <w:szCs w:val="22"/>
        </w:rPr>
      </w:pPr>
    </w:p>
    <w:p w:rsidR="00DE0D4E" w:rsidRDefault="00DE0D4E">
      <w:pPr>
        <w:rPr>
          <w:rFonts w:ascii="Trebuchet MS" w:hAnsi="Trebuchet MS"/>
          <w:b/>
          <w:sz w:val="22"/>
          <w:szCs w:val="22"/>
        </w:rPr>
      </w:pPr>
    </w:p>
    <w:p w:rsidR="00DE0D4E" w:rsidRDefault="00DE0D4E">
      <w:pPr>
        <w:rPr>
          <w:rFonts w:ascii="Trebuchet MS" w:hAnsi="Trebuchet MS"/>
          <w:b/>
          <w:sz w:val="22"/>
          <w:szCs w:val="22"/>
        </w:rPr>
      </w:pPr>
    </w:p>
    <w:p w:rsidR="00DE0D4E" w:rsidRDefault="00DE0D4E">
      <w:pPr>
        <w:rPr>
          <w:rFonts w:ascii="Trebuchet MS" w:hAnsi="Trebuchet MS"/>
          <w:b/>
          <w:sz w:val="22"/>
          <w:szCs w:val="22"/>
        </w:rPr>
      </w:pPr>
    </w:p>
    <w:p w:rsidR="00DE0D4E" w:rsidRDefault="00DE0D4E">
      <w:pPr>
        <w:rPr>
          <w:rFonts w:ascii="Trebuchet MS" w:hAnsi="Trebuchet MS"/>
          <w:b/>
          <w:sz w:val="22"/>
          <w:szCs w:val="22"/>
        </w:rPr>
      </w:pPr>
    </w:p>
    <w:p w:rsidR="00DE0D4E" w:rsidRDefault="00DE0D4E">
      <w:pPr>
        <w:rPr>
          <w:rFonts w:ascii="Trebuchet MS" w:hAnsi="Trebuchet MS"/>
          <w:b/>
          <w:sz w:val="22"/>
          <w:szCs w:val="22"/>
        </w:rPr>
      </w:pPr>
    </w:p>
    <w:p w:rsidR="00DE0D4E" w:rsidRDefault="00DE0D4E">
      <w:pPr>
        <w:rPr>
          <w:rFonts w:ascii="Trebuchet MS" w:hAnsi="Trebuchet MS"/>
          <w:b/>
          <w:sz w:val="22"/>
          <w:szCs w:val="22"/>
        </w:rPr>
      </w:pPr>
    </w:p>
    <w:p w:rsidR="00DE0D4E" w:rsidRDefault="00DE0D4E" w:rsidP="00DE0D4E">
      <w:pPr>
        <w:jc w:val="right"/>
        <w:rPr>
          <w:rFonts w:ascii="Arial" w:hAnsi="Arial" w:cs="Arial"/>
          <w:b/>
          <w:sz w:val="32"/>
          <w:szCs w:val="32"/>
        </w:rPr>
      </w:pPr>
      <w:r w:rsidRPr="00DE0D4E">
        <w:rPr>
          <w:rFonts w:ascii="Arial" w:hAnsi="Arial" w:cs="Arial"/>
          <w:b/>
          <w:sz w:val="32"/>
          <w:szCs w:val="32"/>
        </w:rPr>
        <w:t>Appendix A</w:t>
      </w:r>
    </w:p>
    <w:p w:rsidR="00DE0D4E" w:rsidRDefault="00DE0D4E" w:rsidP="00DE0D4E">
      <w:pPr>
        <w:jc w:val="right"/>
        <w:rPr>
          <w:rFonts w:ascii="Arial" w:hAnsi="Arial" w:cs="Arial"/>
          <w:b/>
          <w:sz w:val="32"/>
          <w:szCs w:val="32"/>
        </w:rPr>
      </w:pPr>
    </w:p>
    <w:p w:rsidR="00345A1D" w:rsidRDefault="00DE0D4E">
      <w:pPr>
        <w:rPr>
          <w:rFonts w:ascii="Arial" w:hAnsi="Arial" w:cs="Arial"/>
          <w:b/>
          <w:sz w:val="32"/>
          <w:szCs w:val="32"/>
        </w:rPr>
      </w:pPr>
      <w:r>
        <w:rPr>
          <w:rFonts w:ascii="Arial" w:hAnsi="Arial" w:cs="Arial"/>
          <w:b/>
          <w:sz w:val="32"/>
          <w:szCs w:val="32"/>
        </w:rPr>
        <w:br w:type="page"/>
      </w:r>
      <w:r w:rsidR="00345A1D">
        <w:rPr>
          <w:rFonts w:ascii="Arial" w:hAnsi="Arial" w:cs="Arial"/>
          <w:b/>
          <w:sz w:val="32"/>
          <w:szCs w:val="32"/>
        </w:rPr>
        <w:lastRenderedPageBreak/>
        <w:br w:type="page"/>
      </w:r>
    </w:p>
    <w:p w:rsidR="00DE0D4E" w:rsidRDefault="00DE0D4E">
      <w:pPr>
        <w:rPr>
          <w:rFonts w:ascii="Arial" w:hAnsi="Arial" w:cs="Arial"/>
          <w:b/>
          <w:sz w:val="32"/>
          <w:szCs w:val="32"/>
        </w:rPr>
      </w:pPr>
    </w:p>
    <w:p w:rsidR="00DE0D4E" w:rsidRDefault="00DE0D4E" w:rsidP="00DE0D4E">
      <w:pPr>
        <w:jc w:val="right"/>
        <w:rPr>
          <w:rFonts w:ascii="Arial" w:hAnsi="Arial" w:cs="Arial"/>
          <w:b/>
          <w:sz w:val="32"/>
          <w:szCs w:val="32"/>
        </w:rPr>
      </w:pPr>
    </w:p>
    <w:p w:rsidR="00DE0D4E" w:rsidRDefault="00DE0D4E" w:rsidP="00DE0D4E">
      <w:pPr>
        <w:jc w:val="right"/>
        <w:rPr>
          <w:rFonts w:ascii="Arial" w:hAnsi="Arial" w:cs="Arial"/>
          <w:b/>
          <w:sz w:val="32"/>
          <w:szCs w:val="32"/>
        </w:rPr>
      </w:pPr>
    </w:p>
    <w:p w:rsidR="00DE0D4E" w:rsidRDefault="00DE0D4E" w:rsidP="00DE0D4E">
      <w:pPr>
        <w:jc w:val="right"/>
        <w:rPr>
          <w:rFonts w:ascii="Arial" w:hAnsi="Arial" w:cs="Arial"/>
          <w:b/>
          <w:sz w:val="32"/>
          <w:szCs w:val="32"/>
        </w:rPr>
      </w:pPr>
    </w:p>
    <w:p w:rsidR="00DE0D4E" w:rsidRDefault="00DE0D4E" w:rsidP="00DE0D4E">
      <w:pPr>
        <w:jc w:val="right"/>
        <w:rPr>
          <w:rFonts w:ascii="Arial" w:hAnsi="Arial" w:cs="Arial"/>
          <w:b/>
          <w:sz w:val="32"/>
          <w:szCs w:val="32"/>
        </w:rPr>
      </w:pPr>
    </w:p>
    <w:p w:rsidR="00DE0D4E" w:rsidRDefault="00DE0D4E" w:rsidP="00DE0D4E">
      <w:pPr>
        <w:jc w:val="right"/>
        <w:rPr>
          <w:rFonts w:ascii="Arial" w:hAnsi="Arial" w:cs="Arial"/>
          <w:b/>
          <w:sz w:val="32"/>
          <w:szCs w:val="32"/>
        </w:rPr>
      </w:pPr>
    </w:p>
    <w:p w:rsidR="00DE0D4E" w:rsidRDefault="00DE0D4E" w:rsidP="00DE0D4E">
      <w:pPr>
        <w:jc w:val="right"/>
        <w:rPr>
          <w:rFonts w:ascii="Arial" w:hAnsi="Arial" w:cs="Arial"/>
          <w:b/>
          <w:sz w:val="32"/>
          <w:szCs w:val="32"/>
        </w:rPr>
      </w:pPr>
      <w:r w:rsidRPr="00DE0D4E">
        <w:rPr>
          <w:rFonts w:ascii="Arial" w:hAnsi="Arial" w:cs="Arial"/>
          <w:b/>
          <w:sz w:val="32"/>
          <w:szCs w:val="32"/>
        </w:rPr>
        <w:t xml:space="preserve">Appendix </w:t>
      </w:r>
      <w:r>
        <w:rPr>
          <w:rFonts w:ascii="Arial" w:hAnsi="Arial" w:cs="Arial"/>
          <w:b/>
          <w:sz w:val="32"/>
          <w:szCs w:val="32"/>
        </w:rPr>
        <w:t>B</w:t>
      </w:r>
    </w:p>
    <w:p w:rsidR="00DE0D4E" w:rsidRPr="00DE0D4E" w:rsidRDefault="00DE0D4E" w:rsidP="00DE0D4E">
      <w:pPr>
        <w:jc w:val="right"/>
        <w:rPr>
          <w:rFonts w:ascii="Arial" w:hAnsi="Arial" w:cs="Arial"/>
          <w:b/>
          <w:sz w:val="32"/>
          <w:szCs w:val="32"/>
        </w:rPr>
      </w:pPr>
    </w:p>
    <w:sectPr w:rsidR="00DE0D4E" w:rsidRPr="00DE0D4E" w:rsidSect="00771F53">
      <w:footerReference w:type="default" r:id="rId9"/>
      <w:pgSz w:w="11906" w:h="16838"/>
      <w:pgMar w:top="902" w:right="1797" w:bottom="215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E6" w:rsidRDefault="00FE7AE6">
      <w:r>
        <w:separator/>
      </w:r>
    </w:p>
  </w:endnote>
  <w:endnote w:type="continuationSeparator" w:id="0">
    <w:p w:rsidR="00FE7AE6" w:rsidRDefault="00FE7A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15301"/>
      <w:docPartObj>
        <w:docPartGallery w:val="Page Numbers (Bottom of Page)"/>
        <w:docPartUnique/>
      </w:docPartObj>
    </w:sdtPr>
    <w:sdtContent>
      <w:p w:rsidR="00FE7AE6" w:rsidRDefault="008E7F78">
        <w:pPr>
          <w:pStyle w:val="Footer"/>
          <w:jc w:val="right"/>
        </w:pPr>
        <w:fldSimple w:instr=" PAGE   \* MERGEFORMAT ">
          <w:r w:rsidR="004E4309">
            <w:rPr>
              <w:noProof/>
            </w:rPr>
            <w:t>7</w:t>
          </w:r>
        </w:fldSimple>
      </w:p>
    </w:sdtContent>
  </w:sdt>
  <w:p w:rsidR="00FE7AE6" w:rsidRDefault="00FE7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E6" w:rsidRDefault="00FE7AE6">
      <w:r>
        <w:separator/>
      </w:r>
    </w:p>
  </w:footnote>
  <w:footnote w:type="continuationSeparator" w:id="0">
    <w:p w:rsidR="00FE7AE6" w:rsidRDefault="00FE7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14C5"/>
    <w:multiLevelType w:val="hybridMultilevel"/>
    <w:tmpl w:val="FB2429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AD7027"/>
    <w:multiLevelType w:val="hybridMultilevel"/>
    <w:tmpl w:val="C972D7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C41CAF"/>
    <w:multiLevelType w:val="hybridMultilevel"/>
    <w:tmpl w:val="C974F7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C94103"/>
    <w:multiLevelType w:val="hybridMultilevel"/>
    <w:tmpl w:val="858A88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B367448"/>
    <w:multiLevelType w:val="hybridMultilevel"/>
    <w:tmpl w:val="640461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0031F10"/>
    <w:multiLevelType w:val="hybridMultilevel"/>
    <w:tmpl w:val="ABC2CC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713FA5"/>
    <w:multiLevelType w:val="hybridMultilevel"/>
    <w:tmpl w:val="C3368AB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2825A1"/>
    <w:multiLevelType w:val="hybridMultilevel"/>
    <w:tmpl w:val="AB1CD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3857DF3"/>
    <w:multiLevelType w:val="hybridMultilevel"/>
    <w:tmpl w:val="60724E8E"/>
    <w:lvl w:ilvl="0" w:tplc="73FAD9EA">
      <w:start w:val="1"/>
      <w:numFmt w:val="decimal"/>
      <w:lvlText w:val="%1."/>
      <w:lvlJc w:val="left"/>
      <w:pPr>
        <w:ind w:left="720" w:hanging="360"/>
      </w:pPr>
      <w:rPr>
        <w:rFonts w:ascii="Arial" w:hAnsi="Arial" w:hint="default"/>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154183"/>
    <w:rsid w:val="00006744"/>
    <w:rsid w:val="00013F31"/>
    <w:rsid w:val="000157CF"/>
    <w:rsid w:val="0005634D"/>
    <w:rsid w:val="000A0419"/>
    <w:rsid w:val="000B091A"/>
    <w:rsid w:val="000C02F2"/>
    <w:rsid w:val="000D71A5"/>
    <w:rsid w:val="000E7007"/>
    <w:rsid w:val="000F4811"/>
    <w:rsid w:val="00123A60"/>
    <w:rsid w:val="0012615A"/>
    <w:rsid w:val="00145BB1"/>
    <w:rsid w:val="00154183"/>
    <w:rsid w:val="00181D33"/>
    <w:rsid w:val="001C56F5"/>
    <w:rsid w:val="001E4951"/>
    <w:rsid w:val="00202AC9"/>
    <w:rsid w:val="00251AF3"/>
    <w:rsid w:val="00252D3C"/>
    <w:rsid w:val="002629DD"/>
    <w:rsid w:val="00267198"/>
    <w:rsid w:val="002A0188"/>
    <w:rsid w:val="002C313F"/>
    <w:rsid w:val="002E454D"/>
    <w:rsid w:val="002F0734"/>
    <w:rsid w:val="00314E45"/>
    <w:rsid w:val="003254B9"/>
    <w:rsid w:val="00326D24"/>
    <w:rsid w:val="00345A1D"/>
    <w:rsid w:val="00386B3B"/>
    <w:rsid w:val="00387065"/>
    <w:rsid w:val="00394769"/>
    <w:rsid w:val="003D6375"/>
    <w:rsid w:val="003E2971"/>
    <w:rsid w:val="003E6B5A"/>
    <w:rsid w:val="003F39A6"/>
    <w:rsid w:val="00407BAC"/>
    <w:rsid w:val="00437559"/>
    <w:rsid w:val="00457402"/>
    <w:rsid w:val="00465F43"/>
    <w:rsid w:val="00471CFB"/>
    <w:rsid w:val="004728CD"/>
    <w:rsid w:val="00481A8B"/>
    <w:rsid w:val="004B2C4D"/>
    <w:rsid w:val="004B450E"/>
    <w:rsid w:val="004B4BF0"/>
    <w:rsid w:val="004C783B"/>
    <w:rsid w:val="004C788B"/>
    <w:rsid w:val="004E4309"/>
    <w:rsid w:val="004E5A68"/>
    <w:rsid w:val="004F576D"/>
    <w:rsid w:val="004F7C81"/>
    <w:rsid w:val="00505A1A"/>
    <w:rsid w:val="00506E59"/>
    <w:rsid w:val="00527E20"/>
    <w:rsid w:val="00532D0E"/>
    <w:rsid w:val="00540CD7"/>
    <w:rsid w:val="00541693"/>
    <w:rsid w:val="00541866"/>
    <w:rsid w:val="00545CFE"/>
    <w:rsid w:val="00584340"/>
    <w:rsid w:val="00595462"/>
    <w:rsid w:val="005B77D8"/>
    <w:rsid w:val="005C1A23"/>
    <w:rsid w:val="005D419E"/>
    <w:rsid w:val="005E12CB"/>
    <w:rsid w:val="005F3369"/>
    <w:rsid w:val="006114F0"/>
    <w:rsid w:val="006168B1"/>
    <w:rsid w:val="006334F7"/>
    <w:rsid w:val="00677A83"/>
    <w:rsid w:val="006956CC"/>
    <w:rsid w:val="006A16A3"/>
    <w:rsid w:val="006B5CC9"/>
    <w:rsid w:val="006C487B"/>
    <w:rsid w:val="006D539E"/>
    <w:rsid w:val="006E6A2F"/>
    <w:rsid w:val="007524C0"/>
    <w:rsid w:val="00754684"/>
    <w:rsid w:val="0076567A"/>
    <w:rsid w:val="00771F53"/>
    <w:rsid w:val="007A1F8F"/>
    <w:rsid w:val="007D42B0"/>
    <w:rsid w:val="007D65FF"/>
    <w:rsid w:val="007F2E45"/>
    <w:rsid w:val="008347D4"/>
    <w:rsid w:val="008412DC"/>
    <w:rsid w:val="00881679"/>
    <w:rsid w:val="008A0D32"/>
    <w:rsid w:val="008C00BC"/>
    <w:rsid w:val="008C3C3A"/>
    <w:rsid w:val="008E7F78"/>
    <w:rsid w:val="00910B44"/>
    <w:rsid w:val="00943CB0"/>
    <w:rsid w:val="00953386"/>
    <w:rsid w:val="009743EC"/>
    <w:rsid w:val="00976251"/>
    <w:rsid w:val="009A2FC4"/>
    <w:rsid w:val="009B60C3"/>
    <w:rsid w:val="009E63A1"/>
    <w:rsid w:val="009F4F68"/>
    <w:rsid w:val="00A00CAB"/>
    <w:rsid w:val="00A01983"/>
    <w:rsid w:val="00A10593"/>
    <w:rsid w:val="00A66877"/>
    <w:rsid w:val="00A9345F"/>
    <w:rsid w:val="00AD0C9B"/>
    <w:rsid w:val="00AF2134"/>
    <w:rsid w:val="00B068FA"/>
    <w:rsid w:val="00B11575"/>
    <w:rsid w:val="00B25375"/>
    <w:rsid w:val="00B52B03"/>
    <w:rsid w:val="00B635F5"/>
    <w:rsid w:val="00B9079D"/>
    <w:rsid w:val="00B91F5E"/>
    <w:rsid w:val="00BB32D1"/>
    <w:rsid w:val="00BC4999"/>
    <w:rsid w:val="00BD3EE9"/>
    <w:rsid w:val="00BE14CA"/>
    <w:rsid w:val="00C04628"/>
    <w:rsid w:val="00C055A1"/>
    <w:rsid w:val="00C11942"/>
    <w:rsid w:val="00C22806"/>
    <w:rsid w:val="00C70D2F"/>
    <w:rsid w:val="00C735FC"/>
    <w:rsid w:val="00C74CEB"/>
    <w:rsid w:val="00CA1051"/>
    <w:rsid w:val="00CA4C52"/>
    <w:rsid w:val="00CC2001"/>
    <w:rsid w:val="00CE0FA3"/>
    <w:rsid w:val="00CF6B1A"/>
    <w:rsid w:val="00D07B38"/>
    <w:rsid w:val="00D55F0A"/>
    <w:rsid w:val="00D55FE1"/>
    <w:rsid w:val="00D7550A"/>
    <w:rsid w:val="00D76139"/>
    <w:rsid w:val="00DA18A5"/>
    <w:rsid w:val="00DA7412"/>
    <w:rsid w:val="00DD2247"/>
    <w:rsid w:val="00DE0D4E"/>
    <w:rsid w:val="00DE5BEB"/>
    <w:rsid w:val="00DE7417"/>
    <w:rsid w:val="00E008EB"/>
    <w:rsid w:val="00E019D0"/>
    <w:rsid w:val="00E04197"/>
    <w:rsid w:val="00E43B78"/>
    <w:rsid w:val="00E52659"/>
    <w:rsid w:val="00E6752E"/>
    <w:rsid w:val="00EA3F0D"/>
    <w:rsid w:val="00EB608A"/>
    <w:rsid w:val="00EC018A"/>
    <w:rsid w:val="00EC2D4E"/>
    <w:rsid w:val="00EE6C2F"/>
    <w:rsid w:val="00F33DD5"/>
    <w:rsid w:val="00F4599C"/>
    <w:rsid w:val="00F52D84"/>
    <w:rsid w:val="00FD77F4"/>
    <w:rsid w:val="00FE7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A1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54183"/>
    <w:pPr>
      <w:tabs>
        <w:tab w:val="center" w:pos="4153"/>
        <w:tab w:val="right" w:pos="8306"/>
      </w:tabs>
    </w:pPr>
  </w:style>
  <w:style w:type="paragraph" w:styleId="Footer">
    <w:name w:val="footer"/>
    <w:basedOn w:val="Normal"/>
    <w:link w:val="FooterChar"/>
    <w:uiPriority w:val="99"/>
    <w:rsid w:val="00154183"/>
    <w:pPr>
      <w:tabs>
        <w:tab w:val="center" w:pos="4153"/>
        <w:tab w:val="right" w:pos="8306"/>
      </w:tabs>
    </w:pPr>
  </w:style>
  <w:style w:type="paragraph" w:styleId="FootnoteText">
    <w:name w:val="footnote text"/>
    <w:basedOn w:val="Normal"/>
    <w:semiHidden/>
    <w:rsid w:val="00F33DD5"/>
    <w:rPr>
      <w:sz w:val="20"/>
      <w:szCs w:val="20"/>
    </w:rPr>
  </w:style>
  <w:style w:type="character" w:styleId="FootnoteReference">
    <w:name w:val="footnote reference"/>
    <w:basedOn w:val="DefaultParagraphFont"/>
    <w:semiHidden/>
    <w:rsid w:val="00F33DD5"/>
    <w:rPr>
      <w:vertAlign w:val="superscript"/>
    </w:rPr>
  </w:style>
  <w:style w:type="character" w:styleId="Hyperlink">
    <w:name w:val="Hyperlink"/>
    <w:basedOn w:val="DefaultParagraphFont"/>
    <w:rsid w:val="00A10593"/>
    <w:rPr>
      <w:color w:val="0000FF"/>
      <w:u w:val="single"/>
    </w:rPr>
  </w:style>
  <w:style w:type="character" w:styleId="CommentReference">
    <w:name w:val="annotation reference"/>
    <w:basedOn w:val="DefaultParagraphFont"/>
    <w:semiHidden/>
    <w:rsid w:val="00EE6C2F"/>
    <w:rPr>
      <w:sz w:val="16"/>
      <w:szCs w:val="16"/>
    </w:rPr>
  </w:style>
  <w:style w:type="paragraph" w:styleId="CommentText">
    <w:name w:val="annotation text"/>
    <w:basedOn w:val="Normal"/>
    <w:semiHidden/>
    <w:rsid w:val="00EE6C2F"/>
    <w:rPr>
      <w:sz w:val="20"/>
      <w:szCs w:val="20"/>
    </w:rPr>
  </w:style>
  <w:style w:type="paragraph" w:styleId="CommentSubject">
    <w:name w:val="annotation subject"/>
    <w:basedOn w:val="CommentText"/>
    <w:next w:val="CommentText"/>
    <w:semiHidden/>
    <w:rsid w:val="00EE6C2F"/>
    <w:rPr>
      <w:b/>
      <w:bCs/>
    </w:rPr>
  </w:style>
  <w:style w:type="paragraph" w:styleId="BalloonText">
    <w:name w:val="Balloon Text"/>
    <w:basedOn w:val="Normal"/>
    <w:semiHidden/>
    <w:rsid w:val="00EE6C2F"/>
    <w:rPr>
      <w:rFonts w:ascii="Tahoma" w:hAnsi="Tahoma" w:cs="Tahoma"/>
      <w:sz w:val="16"/>
      <w:szCs w:val="16"/>
    </w:rPr>
  </w:style>
  <w:style w:type="paragraph" w:styleId="ListParagraph">
    <w:name w:val="List Paragraph"/>
    <w:basedOn w:val="Normal"/>
    <w:uiPriority w:val="34"/>
    <w:qFormat/>
    <w:rsid w:val="00910B44"/>
    <w:pPr>
      <w:ind w:left="720"/>
      <w:contextualSpacing/>
    </w:pPr>
  </w:style>
  <w:style w:type="character" w:customStyle="1" w:styleId="fontstyle11">
    <w:name w:val="fontstyle11"/>
    <w:basedOn w:val="DefaultParagraphFont"/>
    <w:rsid w:val="00953386"/>
    <w:rPr>
      <w:rFonts w:ascii="Calibri" w:hAnsi="Calibri" w:cs="Calibri" w:hint="default"/>
      <w:b w:val="0"/>
      <w:bCs w:val="0"/>
      <w:i w:val="0"/>
      <w:iCs w:val="0"/>
      <w:color w:val="000000"/>
      <w:sz w:val="24"/>
      <w:szCs w:val="24"/>
    </w:rPr>
  </w:style>
  <w:style w:type="character" w:customStyle="1" w:styleId="fontstyle31">
    <w:name w:val="fontstyle31"/>
    <w:basedOn w:val="DefaultParagraphFont"/>
    <w:rsid w:val="00953386"/>
    <w:rPr>
      <w:rFonts w:ascii="Calibri-Italic" w:hAnsi="Calibri-Italic" w:hint="default"/>
      <w:b w:val="0"/>
      <w:bCs w:val="0"/>
      <w:i/>
      <w:iCs/>
      <w:color w:val="000000"/>
      <w:sz w:val="20"/>
      <w:szCs w:val="20"/>
    </w:rPr>
  </w:style>
  <w:style w:type="character" w:customStyle="1" w:styleId="HeaderChar">
    <w:name w:val="Header Char"/>
    <w:basedOn w:val="DefaultParagraphFont"/>
    <w:link w:val="Header"/>
    <w:uiPriority w:val="99"/>
    <w:rsid w:val="00FE7AE6"/>
    <w:rPr>
      <w:sz w:val="24"/>
      <w:szCs w:val="24"/>
      <w:lang w:val="en-GB" w:eastAsia="en-GB"/>
    </w:rPr>
  </w:style>
  <w:style w:type="character" w:customStyle="1" w:styleId="FooterChar">
    <w:name w:val="Footer Char"/>
    <w:basedOn w:val="DefaultParagraphFont"/>
    <w:link w:val="Footer"/>
    <w:uiPriority w:val="99"/>
    <w:rsid w:val="00FE7AE6"/>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30010449">
      <w:bodyDiv w:val="1"/>
      <w:marLeft w:val="0"/>
      <w:marRight w:val="0"/>
      <w:marTop w:val="0"/>
      <w:marBottom w:val="0"/>
      <w:divBdr>
        <w:top w:val="none" w:sz="0" w:space="0" w:color="auto"/>
        <w:left w:val="none" w:sz="0" w:space="0" w:color="auto"/>
        <w:bottom w:val="none" w:sz="0" w:space="0" w:color="auto"/>
        <w:right w:val="none" w:sz="0" w:space="0" w:color="auto"/>
      </w:divBdr>
    </w:div>
    <w:div w:id="14199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FAA52-502E-4F4B-ADE0-AB139B88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813</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5413</CharactersWithSpaces>
  <SharedDoc>false</SharedDoc>
  <HLinks>
    <vt:vector size="12" baseType="variant">
      <vt:variant>
        <vt:i4>721008</vt:i4>
      </vt:variant>
      <vt:variant>
        <vt:i4>3</vt:i4>
      </vt:variant>
      <vt:variant>
        <vt:i4>0</vt:i4>
      </vt:variant>
      <vt:variant>
        <vt:i4>5</vt:i4>
      </vt:variant>
      <vt:variant>
        <vt:lpwstr>mailto:cyril.saich@environ.ie</vt:lpwstr>
      </vt:variant>
      <vt:variant>
        <vt:lpwstr/>
      </vt:variant>
      <vt:variant>
        <vt:i4>7077973</vt:i4>
      </vt:variant>
      <vt:variant>
        <vt:i4>0</vt:i4>
      </vt:variant>
      <vt:variant>
        <vt:i4>0</vt:i4>
      </vt:variant>
      <vt:variant>
        <vt:i4>5</vt:i4>
      </vt:variant>
      <vt:variant>
        <vt:lpwstr>mailto:Natureconservation@environ.ie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scasey</dc:creator>
  <cp:lastModifiedBy>kfinegan</cp:lastModifiedBy>
  <cp:revision>2</cp:revision>
  <cp:lastPrinted>2017-07-27T15:06:00Z</cp:lastPrinted>
  <dcterms:created xsi:type="dcterms:W3CDTF">2017-07-28T09:15:00Z</dcterms:created>
  <dcterms:modified xsi:type="dcterms:W3CDTF">2017-07-28T09:15:00Z</dcterms:modified>
</cp:coreProperties>
</file>